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34" w:rsidRPr="006B2934" w:rsidRDefault="006B2934" w:rsidP="006B2934">
      <w:pPr>
        <w:pStyle w:val="Heading2"/>
        <w:jc w:val="center"/>
        <w:rPr>
          <w:rFonts w:asciiTheme="minorHAnsi" w:hAnsiTheme="minorHAnsi" w:cs="Arial"/>
          <w:color w:val="242424"/>
          <w:sz w:val="24"/>
          <w:szCs w:val="24"/>
          <w:shd w:val="clear" w:color="auto" w:fill="FFFFFF"/>
        </w:rPr>
      </w:pPr>
      <w:bookmarkStart w:id="0" w:name="_GoBack"/>
      <w:bookmarkEnd w:id="0"/>
      <w:r w:rsidRPr="006B2934">
        <w:rPr>
          <w:rFonts w:asciiTheme="minorHAnsi" w:hAnsiTheme="minorHAnsi" w:cs="Arial"/>
          <w:color w:val="242424"/>
          <w:sz w:val="36"/>
          <w:szCs w:val="24"/>
          <w:shd w:val="clear" w:color="auto" w:fill="FFFFFF"/>
        </w:rPr>
        <w:t xml:space="preserve">About </w:t>
      </w:r>
      <w:r w:rsidR="00796CDD">
        <w:rPr>
          <w:rFonts w:asciiTheme="minorHAnsi" w:hAnsiTheme="minorHAnsi" w:cs="Arial"/>
          <w:color w:val="242424"/>
          <w:sz w:val="36"/>
          <w:szCs w:val="24"/>
          <w:shd w:val="clear" w:color="auto" w:fill="FFFFFF"/>
        </w:rPr>
        <w:t xml:space="preserve">Us </w:t>
      </w:r>
    </w:p>
    <w:p w:rsidR="006B2934" w:rsidRDefault="006B2934" w:rsidP="00624860">
      <w:pPr>
        <w:pStyle w:val="Heading2"/>
        <w:rPr>
          <w:rFonts w:asciiTheme="minorHAnsi" w:hAnsiTheme="minorHAnsi" w:cs="Arial"/>
          <w:b w:val="0"/>
          <w:color w:val="242424"/>
          <w:sz w:val="24"/>
          <w:szCs w:val="24"/>
          <w:shd w:val="clear" w:color="auto" w:fill="FFFFFF"/>
        </w:rPr>
      </w:pPr>
    </w:p>
    <w:p w:rsidR="00557E15" w:rsidRPr="00844004" w:rsidRDefault="00844004" w:rsidP="00624860">
      <w:pPr>
        <w:pStyle w:val="Heading2"/>
        <w:rPr>
          <w:rFonts w:asciiTheme="minorHAnsi" w:hAnsiTheme="minorHAnsi" w:cs="Arial"/>
          <w:b w:val="0"/>
          <w:color w:val="242424"/>
          <w:sz w:val="24"/>
          <w:szCs w:val="24"/>
          <w:shd w:val="clear" w:color="auto" w:fill="FFFFFF"/>
        </w:rPr>
      </w:pPr>
      <w:r w:rsidRPr="006B2934">
        <w:rPr>
          <w:rFonts w:asciiTheme="minorHAnsi" w:hAnsiTheme="minorHAnsi" w:cs="Arial"/>
          <w:b w:val="0"/>
          <w:color w:val="242424"/>
          <w:sz w:val="32"/>
          <w:szCs w:val="24"/>
          <w:shd w:val="clear" w:color="auto" w:fill="FFFFFF"/>
        </w:rPr>
        <w:t>The Lenders Coalition for Community Health Centers (LCCHC) is a coalition o</w:t>
      </w:r>
      <w:r w:rsidR="00A1571F">
        <w:rPr>
          <w:rFonts w:asciiTheme="minorHAnsi" w:hAnsiTheme="minorHAnsi" w:cs="Arial"/>
          <w:b w:val="0"/>
          <w:color w:val="242424"/>
          <w:sz w:val="32"/>
          <w:szCs w:val="24"/>
          <w:shd w:val="clear" w:color="auto" w:fill="FFFFFF"/>
        </w:rPr>
        <w:t>f 23</w:t>
      </w:r>
      <w:r w:rsidR="00167B57">
        <w:rPr>
          <w:rStyle w:val="apple-converted-space"/>
          <w:rFonts w:asciiTheme="minorHAnsi" w:hAnsiTheme="minorHAnsi" w:cs="Arial"/>
          <w:b w:val="0"/>
          <w:color w:val="242424"/>
          <w:sz w:val="32"/>
          <w:szCs w:val="24"/>
          <w:shd w:val="clear" w:color="auto" w:fill="FFFFFF"/>
        </w:rPr>
        <w:t xml:space="preserve"> </w:t>
      </w:r>
      <w:r w:rsidRPr="006B2934">
        <w:rPr>
          <w:rFonts w:asciiTheme="minorHAnsi" w:hAnsiTheme="minorHAnsi" w:cs="Arial"/>
          <w:b w:val="0"/>
          <w:sz w:val="32"/>
          <w:szCs w:val="24"/>
          <w:bdr w:val="none" w:sz="0" w:space="0" w:color="auto" w:frame="1"/>
          <w:shd w:val="clear" w:color="auto" w:fill="FFFFFF"/>
        </w:rPr>
        <w:t>community development financial institutions (</w:t>
      </w:r>
      <w:r w:rsidRPr="006B2934">
        <w:rPr>
          <w:rFonts w:asciiTheme="minorHAnsi" w:hAnsiTheme="minorHAnsi" w:cs="Arial"/>
          <w:b w:val="0"/>
          <w:color w:val="242424"/>
          <w:sz w:val="32"/>
          <w:szCs w:val="24"/>
          <w:shd w:val="clear" w:color="auto" w:fill="FFFFFF"/>
        </w:rPr>
        <w:t>CDFIs) involved in community health center lending whose main goal is to advocate for resources and policies that will strengthen health centers’ access to capital and CDFIs’ ability to finance community health center growth.</w:t>
      </w:r>
      <w:r w:rsidR="001F2F15" w:rsidRPr="00844004">
        <w:rPr>
          <w:rFonts w:asciiTheme="minorHAnsi" w:hAnsiTheme="minorHAnsi"/>
          <w:b w:val="0"/>
          <w:noProof/>
          <w:snapToGrid/>
          <w:sz w:val="24"/>
          <w:szCs w:val="24"/>
        </w:rPr>
        <mc:AlternateContent>
          <mc:Choice Requires="wps">
            <w:drawing>
              <wp:anchor distT="0" distB="0" distL="114300" distR="114300" simplePos="0" relativeHeight="251657728" behindDoc="1" locked="1" layoutInCell="1" allowOverlap="0" wp14:anchorId="35EFAC57" wp14:editId="46B355A1">
                <wp:simplePos x="0" y="0"/>
                <wp:positionH relativeFrom="page">
                  <wp:posOffset>285750</wp:posOffset>
                </wp:positionH>
                <wp:positionV relativeFrom="page">
                  <wp:posOffset>1438275</wp:posOffset>
                </wp:positionV>
                <wp:extent cx="1292860" cy="8258175"/>
                <wp:effectExtent l="0" t="0" r="254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825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Boston Community Capital</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Calvert Foundation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Capital Impact Partners</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Capital Link</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Community Reinvestment Fund, USA</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CSH (Corporation for Supportive Housing) </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Enterprise Community Loan Fund, Inc.</w:t>
                            </w:r>
                          </w:p>
                          <w:p w:rsidR="002D718D" w:rsidRPr="002D718D" w:rsidRDefault="002D718D"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Florida Community Loan Fund </w:t>
                            </w:r>
                          </w:p>
                          <w:p w:rsidR="002D718D" w:rsidRPr="002D718D" w:rsidRDefault="002D718D"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Forward Community Investment </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Hope Enterprise</w:t>
                            </w:r>
                            <w:r w:rsidR="00BD5432" w:rsidRPr="002D718D">
                              <w:rPr>
                                <w:rFonts w:asciiTheme="minorHAnsi" w:eastAsia="Arial Unicode MS" w:hAnsiTheme="minorHAnsi" w:cs="Arial Unicode MS"/>
                                <w:i/>
                                <w:color w:val="808080"/>
                                <w:sz w:val="18"/>
                                <w:szCs w:val="18"/>
                              </w:rPr>
                              <w:t xml:space="preserve">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IFF</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Local Initiatives Support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Low Income Investment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Mercy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Nonprofit Finance Fund</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National Development Council </w:t>
                            </w:r>
                          </w:p>
                          <w:p w:rsidR="00EE6DC6" w:rsidRPr="002D718D" w:rsidRDefault="00EE6DC6"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Northern California Community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Opportunity Finance Network</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Partners for the Common Good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Primary Care Development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Reinvestment Fund</w:t>
                            </w:r>
                          </w:p>
                          <w:p w:rsidR="002D718D" w:rsidRPr="002D718D" w:rsidRDefault="002D718D" w:rsidP="002D718D">
                            <w:pPr>
                              <w:spacing w:after="100"/>
                              <w:rPr>
                                <w:rFonts w:asciiTheme="minorHAnsi" w:hAnsiTheme="minorHAnsi"/>
                                <w:i/>
                                <w:color w:val="808080"/>
                                <w:sz w:val="18"/>
                                <w:szCs w:val="18"/>
                              </w:rPr>
                            </w:pPr>
                            <w:r w:rsidRPr="002D718D">
                              <w:rPr>
                                <w:rFonts w:asciiTheme="minorHAnsi" w:hAnsiTheme="minorHAnsi"/>
                                <w:i/>
                                <w:color w:val="808080"/>
                                <w:sz w:val="18"/>
                                <w:szCs w:val="18"/>
                              </w:rPr>
                              <w:t>Rural Community Assistance Corporation</w:t>
                            </w:r>
                          </w:p>
                          <w:p w:rsidR="002D718D" w:rsidRPr="002D718D" w:rsidRDefault="002D718D" w:rsidP="002D718D">
                            <w:pPr>
                              <w:spacing w:after="24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SC Community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u w:val="single"/>
                              </w:rPr>
                              <w:t>Advisory Members</w:t>
                            </w:r>
                            <w:r w:rsidRPr="002D718D">
                              <w:rPr>
                                <w:rFonts w:asciiTheme="minorHAnsi" w:eastAsia="Arial Unicode MS" w:hAnsiTheme="minorHAnsi" w:cs="Arial Unicode MS"/>
                                <w:i/>
                                <w:color w:val="808080"/>
                                <w:sz w:val="18"/>
                                <w:szCs w:val="18"/>
                              </w:rPr>
                              <w:t>:</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Housing Partnership Network</w:t>
                            </w:r>
                          </w:p>
                          <w:p w:rsidR="00C11D3C" w:rsidRPr="002D718D" w:rsidRDefault="00C11D3C" w:rsidP="002D718D">
                            <w:pPr>
                              <w:spacing w:after="100"/>
                              <w:rPr>
                                <w:rFonts w:asciiTheme="minorHAnsi" w:hAnsiTheme="minorHAnsi"/>
                                <w:i/>
                                <w:iCs/>
                                <w:color w:val="808080"/>
                                <w:sz w:val="18"/>
                                <w:szCs w:val="18"/>
                              </w:rPr>
                            </w:pPr>
                            <w:r w:rsidRPr="002D718D">
                              <w:rPr>
                                <w:rFonts w:asciiTheme="minorHAnsi" w:hAnsiTheme="minorHAnsi"/>
                                <w:i/>
                                <w:iCs/>
                                <w:color w:val="808080"/>
                                <w:sz w:val="18"/>
                                <w:szCs w:val="18"/>
                              </w:rPr>
                              <w:t>Kresge Foundation</w:t>
                            </w:r>
                          </w:p>
                          <w:p w:rsidR="00C11D3C" w:rsidRPr="002D718D" w:rsidRDefault="00C11D3C" w:rsidP="002D718D">
                            <w:pPr>
                              <w:spacing w:after="100"/>
                              <w:rPr>
                                <w:rFonts w:asciiTheme="minorHAnsi" w:hAnsiTheme="minorHAnsi"/>
                                <w:i/>
                                <w:iCs/>
                                <w:color w:val="808080"/>
                                <w:sz w:val="18"/>
                                <w:szCs w:val="18"/>
                              </w:rPr>
                            </w:pPr>
                            <w:r w:rsidRPr="002D718D">
                              <w:rPr>
                                <w:rFonts w:asciiTheme="minorHAnsi" w:hAnsiTheme="minorHAnsi"/>
                                <w:i/>
                                <w:iCs/>
                                <w:color w:val="808080"/>
                                <w:sz w:val="18"/>
                                <w:szCs w:val="18"/>
                              </w:rPr>
                              <w:t>National Association of Community Health Centers</w:t>
                            </w:r>
                          </w:p>
                          <w:p w:rsidR="00C11D3C" w:rsidRPr="002D718D" w:rsidRDefault="00C11D3C" w:rsidP="002D718D">
                            <w:pPr>
                              <w:spacing w:after="100"/>
                              <w:rPr>
                                <w:rFonts w:asciiTheme="minorHAnsi" w:hAnsiTheme="minorHAnsi"/>
                                <w:i/>
                                <w:iCs/>
                                <w:color w:val="808080"/>
                                <w:sz w:val="18"/>
                                <w:szCs w:val="18"/>
                              </w:rPr>
                            </w:pPr>
                            <w:r w:rsidRPr="002D718D">
                              <w:rPr>
                                <w:rFonts w:asciiTheme="minorHAnsi" w:hAnsiTheme="minorHAnsi"/>
                                <w:i/>
                                <w:iCs/>
                                <w:color w:val="808080"/>
                                <w:sz w:val="18"/>
                                <w:szCs w:val="18"/>
                              </w:rPr>
                              <w:t>Policy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EFAC57" id="_x0000_t202" coordsize="21600,21600" o:spt="202" path="m,l,21600r21600,l21600,xe">
                <v:stroke joinstyle="miter"/>
                <v:path gradientshapeok="t" o:connecttype="rect"/>
              </v:shapetype>
              <v:shape id="Text Box 14" o:spid="_x0000_s1026" type="#_x0000_t202" style="position:absolute;margin-left:22.5pt;margin-top:113.25pt;width:101.8pt;height:6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TSrA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" o:allowoverlap="f" filled="f" stroked="f">
                <v:textbox inset="0,0,0,0">
                  <w:txbxContent>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Boston Community Capital</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Calvert Foundation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Capital Impact Partners</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Capital Link</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Community Reinvestment Fund, USA</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CSH (Corporation for Supportive Housing) </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Enterprise Community Loan Fund, Inc.</w:t>
                      </w:r>
                    </w:p>
                    <w:p w:rsidR="002D718D" w:rsidRPr="002D718D" w:rsidRDefault="002D718D"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Florida Community Loan Fund </w:t>
                      </w:r>
                    </w:p>
                    <w:p w:rsidR="002D718D" w:rsidRPr="002D718D" w:rsidRDefault="002D718D"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Forward Community Investment </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Hope Enterprise</w:t>
                      </w:r>
                      <w:r w:rsidR="00BD5432" w:rsidRPr="002D718D">
                        <w:rPr>
                          <w:rFonts w:asciiTheme="minorHAnsi" w:eastAsia="Arial Unicode MS" w:hAnsiTheme="minorHAnsi" w:cs="Arial Unicode MS"/>
                          <w:i/>
                          <w:color w:val="808080"/>
                          <w:sz w:val="18"/>
                          <w:szCs w:val="18"/>
                        </w:rPr>
                        <w:t xml:space="preserve">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IFF</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Local Initiatives Support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Low Income Investment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Mercy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Nonprofit Finance Fund</w:t>
                      </w:r>
                    </w:p>
                    <w:p w:rsidR="002E6BFC" w:rsidRPr="002D718D" w:rsidRDefault="002E6BF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 xml:space="preserve">National Development Council </w:t>
                      </w:r>
                    </w:p>
                    <w:p w:rsidR="00EE6DC6" w:rsidRPr="002D718D" w:rsidRDefault="00EE6DC6"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Northern California Community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Opportunity Finance Network</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Partners for the Common Good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Primary Care Development Corporation</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Reinvestment Fund</w:t>
                      </w:r>
                    </w:p>
                    <w:p w:rsidR="002D718D" w:rsidRPr="002D718D" w:rsidRDefault="002D718D" w:rsidP="002D718D">
                      <w:pPr>
                        <w:spacing w:after="100"/>
                        <w:rPr>
                          <w:rFonts w:asciiTheme="minorHAnsi" w:hAnsiTheme="minorHAnsi"/>
                          <w:i/>
                          <w:color w:val="808080"/>
                          <w:sz w:val="18"/>
                          <w:szCs w:val="18"/>
                        </w:rPr>
                      </w:pPr>
                      <w:r w:rsidRPr="002D718D">
                        <w:rPr>
                          <w:rFonts w:asciiTheme="minorHAnsi" w:hAnsiTheme="minorHAnsi"/>
                          <w:i/>
                          <w:color w:val="808080"/>
                          <w:sz w:val="18"/>
                          <w:szCs w:val="18"/>
                        </w:rPr>
                        <w:t>Rural Community Assistance Corporation</w:t>
                      </w:r>
                    </w:p>
                    <w:p w:rsidR="002D718D" w:rsidRPr="002D718D" w:rsidRDefault="002D718D" w:rsidP="002D718D">
                      <w:pPr>
                        <w:spacing w:after="24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SC Community Loan Fund</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u w:val="single"/>
                        </w:rPr>
                        <w:t>Advisory Members</w:t>
                      </w:r>
                      <w:r w:rsidRPr="002D718D">
                        <w:rPr>
                          <w:rFonts w:asciiTheme="minorHAnsi" w:eastAsia="Arial Unicode MS" w:hAnsiTheme="minorHAnsi" w:cs="Arial Unicode MS"/>
                          <w:i/>
                          <w:color w:val="808080"/>
                          <w:sz w:val="18"/>
                          <w:szCs w:val="18"/>
                        </w:rPr>
                        <w:t>:</w:t>
                      </w:r>
                    </w:p>
                    <w:p w:rsidR="00C11D3C" w:rsidRPr="002D718D" w:rsidRDefault="00C11D3C" w:rsidP="002D718D">
                      <w:pPr>
                        <w:spacing w:after="100"/>
                        <w:rPr>
                          <w:rFonts w:asciiTheme="minorHAnsi" w:eastAsia="Arial Unicode MS" w:hAnsiTheme="minorHAnsi" w:cs="Arial Unicode MS"/>
                          <w:i/>
                          <w:color w:val="808080"/>
                          <w:sz w:val="18"/>
                          <w:szCs w:val="18"/>
                        </w:rPr>
                      </w:pPr>
                      <w:r w:rsidRPr="002D718D">
                        <w:rPr>
                          <w:rFonts w:asciiTheme="minorHAnsi" w:eastAsia="Arial Unicode MS" w:hAnsiTheme="minorHAnsi" w:cs="Arial Unicode MS"/>
                          <w:i/>
                          <w:color w:val="808080"/>
                          <w:sz w:val="18"/>
                          <w:szCs w:val="18"/>
                        </w:rPr>
                        <w:t>Housing Partnership Network</w:t>
                      </w:r>
                    </w:p>
                    <w:p w:rsidR="00C11D3C" w:rsidRPr="002D718D" w:rsidRDefault="00C11D3C" w:rsidP="002D718D">
                      <w:pPr>
                        <w:spacing w:after="100"/>
                        <w:rPr>
                          <w:rFonts w:asciiTheme="minorHAnsi" w:hAnsiTheme="minorHAnsi"/>
                          <w:i/>
                          <w:iCs/>
                          <w:color w:val="808080"/>
                          <w:sz w:val="18"/>
                          <w:szCs w:val="18"/>
                        </w:rPr>
                      </w:pPr>
                      <w:proofErr w:type="spellStart"/>
                      <w:r w:rsidRPr="002D718D">
                        <w:rPr>
                          <w:rFonts w:asciiTheme="minorHAnsi" w:hAnsiTheme="minorHAnsi"/>
                          <w:i/>
                          <w:iCs/>
                          <w:color w:val="808080"/>
                          <w:sz w:val="18"/>
                          <w:szCs w:val="18"/>
                        </w:rPr>
                        <w:t>Kresge</w:t>
                      </w:r>
                      <w:proofErr w:type="spellEnd"/>
                      <w:r w:rsidRPr="002D718D">
                        <w:rPr>
                          <w:rFonts w:asciiTheme="minorHAnsi" w:hAnsiTheme="minorHAnsi"/>
                          <w:i/>
                          <w:iCs/>
                          <w:color w:val="808080"/>
                          <w:sz w:val="18"/>
                          <w:szCs w:val="18"/>
                        </w:rPr>
                        <w:t xml:space="preserve"> Foundation</w:t>
                      </w:r>
                    </w:p>
                    <w:p w:rsidR="00C11D3C" w:rsidRPr="002D718D" w:rsidRDefault="00C11D3C" w:rsidP="002D718D">
                      <w:pPr>
                        <w:spacing w:after="100"/>
                        <w:rPr>
                          <w:rFonts w:asciiTheme="minorHAnsi" w:hAnsiTheme="minorHAnsi"/>
                          <w:i/>
                          <w:iCs/>
                          <w:color w:val="808080"/>
                          <w:sz w:val="18"/>
                          <w:szCs w:val="18"/>
                        </w:rPr>
                      </w:pPr>
                      <w:r w:rsidRPr="002D718D">
                        <w:rPr>
                          <w:rFonts w:asciiTheme="minorHAnsi" w:hAnsiTheme="minorHAnsi"/>
                          <w:i/>
                          <w:iCs/>
                          <w:color w:val="808080"/>
                          <w:sz w:val="18"/>
                          <w:szCs w:val="18"/>
                        </w:rPr>
                        <w:t>National Association of Community Health Centers</w:t>
                      </w:r>
                    </w:p>
                    <w:p w:rsidR="00C11D3C" w:rsidRPr="002D718D" w:rsidRDefault="00C11D3C" w:rsidP="002D718D">
                      <w:pPr>
                        <w:spacing w:after="100"/>
                        <w:rPr>
                          <w:rFonts w:asciiTheme="minorHAnsi" w:hAnsiTheme="minorHAnsi"/>
                          <w:i/>
                          <w:iCs/>
                          <w:color w:val="808080"/>
                          <w:sz w:val="18"/>
                          <w:szCs w:val="18"/>
                        </w:rPr>
                      </w:pPr>
                      <w:r w:rsidRPr="002D718D">
                        <w:rPr>
                          <w:rFonts w:asciiTheme="minorHAnsi" w:hAnsiTheme="minorHAnsi"/>
                          <w:i/>
                          <w:iCs/>
                          <w:color w:val="808080"/>
                          <w:sz w:val="18"/>
                          <w:szCs w:val="18"/>
                        </w:rPr>
                        <w:t>Policy Link</w:t>
                      </w:r>
                    </w:p>
                  </w:txbxContent>
                </v:textbox>
                <w10:wrap anchorx="page" anchory="page"/>
                <w10:anchorlock/>
              </v:shape>
            </w:pict>
          </mc:Fallback>
        </mc:AlternateContent>
      </w:r>
      <w:r w:rsidRPr="00844004">
        <w:rPr>
          <w:rFonts w:asciiTheme="minorHAnsi" w:hAnsiTheme="minorHAnsi" w:cs="Arial"/>
          <w:b w:val="0"/>
          <w:color w:val="242424"/>
          <w:sz w:val="24"/>
          <w:szCs w:val="24"/>
          <w:shd w:val="clear" w:color="auto" w:fill="FFFFFF"/>
        </w:rPr>
        <w:t xml:space="preserve"> </w:t>
      </w:r>
    </w:p>
    <w:p w:rsidR="00844004" w:rsidRPr="006B2934" w:rsidRDefault="00844004" w:rsidP="00844004">
      <w:pPr>
        <w:rPr>
          <w:sz w:val="32"/>
        </w:rPr>
      </w:pPr>
    </w:p>
    <w:p w:rsidR="00844004" w:rsidRPr="006B2934" w:rsidRDefault="00844004" w:rsidP="006B2934">
      <w:pPr>
        <w:pStyle w:val="ListParagraph"/>
        <w:numPr>
          <w:ilvl w:val="0"/>
          <w:numId w:val="3"/>
        </w:numPr>
        <w:rPr>
          <w:rFonts w:asciiTheme="minorHAnsi" w:hAnsiTheme="minorHAnsi" w:cs="Arial"/>
          <w:color w:val="242424"/>
          <w:sz w:val="32"/>
          <w:shd w:val="clear" w:color="auto" w:fill="FFFFFF"/>
        </w:rPr>
      </w:pPr>
      <w:r w:rsidRPr="006B2934">
        <w:rPr>
          <w:rFonts w:asciiTheme="minorHAnsi" w:hAnsiTheme="minorHAnsi"/>
          <w:sz w:val="32"/>
        </w:rPr>
        <w:t xml:space="preserve">LCCHC members have </w:t>
      </w:r>
      <w:r w:rsidRPr="006B2934">
        <w:rPr>
          <w:rFonts w:asciiTheme="minorHAnsi" w:hAnsiTheme="minorHAnsi" w:cs="Arial"/>
          <w:color w:val="242424"/>
          <w:sz w:val="32"/>
          <w:shd w:val="clear" w:color="auto" w:fill="FFFFFF"/>
        </w:rPr>
        <w:t>made loans totaling more than $1.</w:t>
      </w:r>
      <w:r w:rsidR="008B6E14">
        <w:rPr>
          <w:rFonts w:asciiTheme="minorHAnsi" w:hAnsiTheme="minorHAnsi" w:cs="Arial"/>
          <w:color w:val="242424"/>
          <w:sz w:val="32"/>
          <w:shd w:val="clear" w:color="auto" w:fill="FFFFFF"/>
        </w:rPr>
        <w:t>36</w:t>
      </w:r>
      <w:r w:rsidRPr="006B2934">
        <w:rPr>
          <w:rFonts w:asciiTheme="minorHAnsi" w:hAnsiTheme="minorHAnsi" w:cs="Arial"/>
          <w:color w:val="242424"/>
          <w:sz w:val="32"/>
          <w:shd w:val="clear" w:color="auto" w:fill="FFFFFF"/>
        </w:rPr>
        <w:t xml:space="preserve"> billion to community health centers in 3</w:t>
      </w:r>
      <w:r w:rsidR="008B6E14">
        <w:rPr>
          <w:rFonts w:asciiTheme="minorHAnsi" w:hAnsiTheme="minorHAnsi" w:cs="Arial"/>
          <w:color w:val="242424"/>
          <w:sz w:val="32"/>
          <w:shd w:val="clear" w:color="auto" w:fill="FFFFFF"/>
        </w:rPr>
        <w:t>6</w:t>
      </w:r>
      <w:r w:rsidRPr="006B2934">
        <w:rPr>
          <w:rFonts w:asciiTheme="minorHAnsi" w:hAnsiTheme="minorHAnsi" w:cs="Arial"/>
          <w:color w:val="242424"/>
          <w:sz w:val="32"/>
          <w:shd w:val="clear" w:color="auto" w:fill="FFFFFF"/>
        </w:rPr>
        <w:t xml:space="preserve"> states. </w:t>
      </w:r>
    </w:p>
    <w:p w:rsidR="006B2934" w:rsidRPr="006B2934" w:rsidRDefault="00844004" w:rsidP="006B2934">
      <w:pPr>
        <w:pStyle w:val="ListParagraph"/>
        <w:numPr>
          <w:ilvl w:val="0"/>
          <w:numId w:val="3"/>
        </w:numPr>
        <w:rPr>
          <w:rFonts w:asciiTheme="minorHAnsi" w:hAnsiTheme="minorHAnsi"/>
          <w:sz w:val="32"/>
        </w:rPr>
      </w:pPr>
      <w:r w:rsidRPr="006B2934">
        <w:rPr>
          <w:rFonts w:asciiTheme="minorHAnsi" w:hAnsiTheme="minorHAnsi" w:cs="Arial"/>
          <w:color w:val="242424"/>
          <w:sz w:val="32"/>
          <w:shd w:val="clear" w:color="auto" w:fill="FFFFFF"/>
        </w:rPr>
        <w:t>$</w:t>
      </w:r>
      <w:r w:rsidR="008B6E14">
        <w:rPr>
          <w:rFonts w:asciiTheme="minorHAnsi" w:hAnsiTheme="minorHAnsi" w:cs="Arial"/>
          <w:color w:val="242424"/>
          <w:sz w:val="32"/>
          <w:shd w:val="clear" w:color="auto" w:fill="FFFFFF"/>
        </w:rPr>
        <w:t>906</w:t>
      </w:r>
      <w:r w:rsidRPr="006B2934">
        <w:rPr>
          <w:rFonts w:asciiTheme="minorHAnsi" w:hAnsiTheme="minorHAnsi" w:cs="Arial"/>
          <w:color w:val="242424"/>
          <w:sz w:val="32"/>
          <w:shd w:val="clear" w:color="auto" w:fill="FFFFFF"/>
        </w:rPr>
        <w:t xml:space="preserve"> million of these loans were related to New Markets Tax Credit financings. </w:t>
      </w:r>
    </w:p>
    <w:p w:rsidR="00844004" w:rsidRPr="006B2934" w:rsidRDefault="00844004" w:rsidP="006B2934">
      <w:pPr>
        <w:pStyle w:val="ListParagraph"/>
        <w:numPr>
          <w:ilvl w:val="0"/>
          <w:numId w:val="3"/>
        </w:numPr>
        <w:rPr>
          <w:rFonts w:asciiTheme="minorHAnsi" w:hAnsiTheme="minorHAnsi"/>
          <w:sz w:val="32"/>
        </w:rPr>
      </w:pPr>
      <w:r w:rsidRPr="006B2934">
        <w:rPr>
          <w:rFonts w:asciiTheme="minorHAnsi" w:hAnsiTheme="minorHAnsi" w:cs="Arial"/>
          <w:color w:val="242424"/>
          <w:sz w:val="32"/>
          <w:shd w:val="clear" w:color="auto" w:fill="FFFFFF"/>
        </w:rPr>
        <w:t>LCCHC member-financed projects serve more than 3</w:t>
      </w:r>
      <w:r w:rsidR="008B6E14">
        <w:rPr>
          <w:rFonts w:asciiTheme="minorHAnsi" w:hAnsiTheme="minorHAnsi" w:cs="Arial"/>
          <w:color w:val="242424"/>
          <w:sz w:val="32"/>
          <w:shd w:val="clear" w:color="auto" w:fill="FFFFFF"/>
        </w:rPr>
        <w:t>.3</w:t>
      </w:r>
      <w:r w:rsidRPr="006B2934">
        <w:rPr>
          <w:rFonts w:asciiTheme="minorHAnsi" w:hAnsiTheme="minorHAnsi" w:cs="Arial"/>
          <w:color w:val="242424"/>
          <w:sz w:val="32"/>
          <w:shd w:val="clear" w:color="auto" w:fill="FFFFFF"/>
        </w:rPr>
        <w:t xml:space="preserve"> million patients annually – 14% of all health center patients.  </w:t>
      </w:r>
    </w:p>
    <w:p w:rsidR="00844004" w:rsidRPr="006B2934" w:rsidRDefault="00844004" w:rsidP="00557E15">
      <w:pPr>
        <w:rPr>
          <w:rFonts w:asciiTheme="minorHAnsi" w:hAnsiTheme="minorHAnsi"/>
          <w:sz w:val="32"/>
        </w:rPr>
      </w:pPr>
    </w:p>
    <w:p w:rsidR="001770ED" w:rsidRPr="006B2934" w:rsidRDefault="00844004" w:rsidP="00557E15">
      <w:pPr>
        <w:rPr>
          <w:rFonts w:asciiTheme="minorHAnsi" w:hAnsiTheme="minorHAnsi"/>
          <w:sz w:val="32"/>
        </w:rPr>
      </w:pPr>
      <w:r w:rsidRPr="006B2934">
        <w:rPr>
          <w:rFonts w:asciiTheme="minorHAnsi" w:hAnsiTheme="minorHAnsi"/>
          <w:sz w:val="32"/>
        </w:rPr>
        <w:t xml:space="preserve">Health centers financed by LCCHC member CDFIs </w:t>
      </w:r>
      <w:r w:rsidR="006B2934" w:rsidRPr="006B2934">
        <w:rPr>
          <w:rFonts w:asciiTheme="minorHAnsi" w:hAnsiTheme="minorHAnsi"/>
          <w:sz w:val="32"/>
        </w:rPr>
        <w:t xml:space="preserve">present remarkably </w:t>
      </w:r>
      <w:r w:rsidRPr="006B2934">
        <w:rPr>
          <w:rFonts w:asciiTheme="minorHAnsi" w:hAnsiTheme="minorHAnsi"/>
          <w:sz w:val="32"/>
        </w:rPr>
        <w:t xml:space="preserve">low </w:t>
      </w:r>
      <w:r w:rsidR="006B2934" w:rsidRPr="006B2934">
        <w:rPr>
          <w:rFonts w:asciiTheme="minorHAnsi" w:hAnsiTheme="minorHAnsi"/>
          <w:sz w:val="32"/>
        </w:rPr>
        <w:t>portfolio risk to lenders</w:t>
      </w:r>
      <w:r w:rsidR="006B2934" w:rsidRPr="006B2934">
        <w:rPr>
          <w:rStyle w:val="FootnoteReference"/>
          <w:rFonts w:asciiTheme="minorHAnsi" w:hAnsiTheme="minorHAnsi"/>
          <w:sz w:val="32"/>
        </w:rPr>
        <w:footnoteReference w:id="1"/>
      </w:r>
      <w:r w:rsidR="006B2934" w:rsidRPr="006B2934">
        <w:rPr>
          <w:rFonts w:asciiTheme="minorHAnsi" w:hAnsiTheme="minorHAnsi"/>
          <w:sz w:val="32"/>
        </w:rPr>
        <w:t xml:space="preserve"> </w:t>
      </w:r>
    </w:p>
    <w:p w:rsidR="00844004" w:rsidRPr="006B2934" w:rsidRDefault="00844004" w:rsidP="00844004">
      <w:pPr>
        <w:pStyle w:val="ListParagraph"/>
        <w:numPr>
          <w:ilvl w:val="0"/>
          <w:numId w:val="2"/>
        </w:numPr>
        <w:rPr>
          <w:rFonts w:asciiTheme="minorHAnsi" w:hAnsiTheme="minorHAnsi"/>
          <w:sz w:val="32"/>
        </w:rPr>
      </w:pPr>
      <w:r w:rsidRPr="006B2934">
        <w:rPr>
          <w:rFonts w:asciiTheme="minorHAnsi" w:hAnsiTheme="minorHAnsi"/>
          <w:sz w:val="32"/>
        </w:rPr>
        <w:t>4.3% of loans rated high risk</w:t>
      </w:r>
    </w:p>
    <w:p w:rsidR="00844004" w:rsidRPr="006B2934" w:rsidRDefault="00844004" w:rsidP="00844004">
      <w:pPr>
        <w:pStyle w:val="ListParagraph"/>
        <w:numPr>
          <w:ilvl w:val="0"/>
          <w:numId w:val="2"/>
        </w:numPr>
        <w:rPr>
          <w:rFonts w:asciiTheme="minorHAnsi" w:hAnsiTheme="minorHAnsi"/>
          <w:sz w:val="32"/>
        </w:rPr>
      </w:pPr>
      <w:r w:rsidRPr="006B2934">
        <w:rPr>
          <w:rFonts w:asciiTheme="minorHAnsi" w:hAnsiTheme="minorHAnsi"/>
          <w:sz w:val="32"/>
        </w:rPr>
        <w:t>1.1% of loans delinquent for 60+ days</w:t>
      </w:r>
    </w:p>
    <w:p w:rsidR="00844004" w:rsidRDefault="00844004" w:rsidP="00844004">
      <w:pPr>
        <w:pStyle w:val="ListParagraph"/>
        <w:numPr>
          <w:ilvl w:val="0"/>
          <w:numId w:val="2"/>
        </w:numPr>
        <w:rPr>
          <w:rFonts w:asciiTheme="minorHAnsi" w:hAnsiTheme="minorHAnsi"/>
          <w:sz w:val="32"/>
        </w:rPr>
      </w:pPr>
      <w:r w:rsidRPr="006B2934">
        <w:rPr>
          <w:rFonts w:asciiTheme="minorHAnsi" w:hAnsiTheme="minorHAnsi"/>
          <w:sz w:val="32"/>
        </w:rPr>
        <w:t>1.1% of loans defaulted</w:t>
      </w:r>
    </w:p>
    <w:p w:rsidR="00371641" w:rsidRPr="006B2934" w:rsidRDefault="00371641" w:rsidP="00844004">
      <w:pPr>
        <w:pStyle w:val="ListParagraph"/>
        <w:numPr>
          <w:ilvl w:val="0"/>
          <w:numId w:val="2"/>
        </w:numPr>
        <w:rPr>
          <w:rFonts w:asciiTheme="minorHAnsi" w:hAnsiTheme="minorHAnsi"/>
          <w:sz w:val="32"/>
        </w:rPr>
      </w:pPr>
      <w:r>
        <w:rPr>
          <w:rFonts w:asciiTheme="minorHAnsi" w:hAnsiTheme="minorHAnsi"/>
          <w:sz w:val="32"/>
        </w:rPr>
        <w:t>0.9% of loans ever on non-accrual</w:t>
      </w:r>
    </w:p>
    <w:p w:rsidR="00844004" w:rsidRDefault="00844004" w:rsidP="00844004">
      <w:pPr>
        <w:pStyle w:val="ListParagraph"/>
        <w:numPr>
          <w:ilvl w:val="0"/>
          <w:numId w:val="2"/>
        </w:numPr>
        <w:rPr>
          <w:rFonts w:asciiTheme="minorHAnsi" w:hAnsiTheme="minorHAnsi"/>
          <w:sz w:val="32"/>
        </w:rPr>
      </w:pPr>
      <w:r w:rsidRPr="006B2934">
        <w:rPr>
          <w:rFonts w:asciiTheme="minorHAnsi" w:hAnsiTheme="minorHAnsi"/>
          <w:sz w:val="32"/>
        </w:rPr>
        <w:t>0.2% of loans foreclosed or charged off</w:t>
      </w:r>
    </w:p>
    <w:p w:rsidR="0083051F" w:rsidRDefault="0083051F" w:rsidP="0083051F">
      <w:pPr>
        <w:rPr>
          <w:rFonts w:asciiTheme="minorHAnsi" w:hAnsiTheme="minorHAnsi"/>
          <w:sz w:val="32"/>
        </w:rPr>
      </w:pPr>
    </w:p>
    <w:p w:rsidR="0083051F" w:rsidRPr="0083051F" w:rsidRDefault="0083051F" w:rsidP="0083051F">
      <w:pPr>
        <w:rPr>
          <w:rFonts w:asciiTheme="minorHAnsi" w:hAnsiTheme="minorHAnsi"/>
          <w:sz w:val="32"/>
        </w:rPr>
      </w:pPr>
      <w:r>
        <w:rPr>
          <w:rFonts w:asciiTheme="minorHAnsi" w:hAnsiTheme="minorHAnsi"/>
          <w:sz w:val="32"/>
        </w:rPr>
        <w:t>Contact Dan Lowenstein at dlowenstein@pcdc.org</w:t>
      </w:r>
    </w:p>
    <w:sectPr w:rsidR="0083051F" w:rsidRPr="0083051F" w:rsidSect="0042051F">
      <w:headerReference w:type="default" r:id="rId9"/>
      <w:footerReference w:type="default" r:id="rId10"/>
      <w:pgSz w:w="12240" w:h="15840" w:code="1"/>
      <w:pgMar w:top="2347" w:right="1440" w:bottom="1440" w:left="2808" w:header="720" w:footer="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3C" w:rsidRDefault="00C11D3C">
      <w:r>
        <w:separator/>
      </w:r>
    </w:p>
  </w:endnote>
  <w:endnote w:type="continuationSeparator" w:id="0">
    <w:p w:rsidR="00C11D3C" w:rsidRDefault="00C1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3C" w:rsidRPr="005F6711" w:rsidRDefault="00C11D3C" w:rsidP="001F2F15">
    <w:pPr>
      <w:pStyle w:val="Footer"/>
      <w:ind w:left="-1872"/>
      <w:rPr>
        <w:rFonts w:ascii="Adobe Garamond Pro" w:hAnsi="Adobe Garamond Pro"/>
        <w:color w:val="04843B"/>
        <w:sz w:val="20"/>
        <w:szCs w:val="22"/>
      </w:rPr>
    </w:pPr>
    <w:r w:rsidRPr="005F6711">
      <w:rPr>
        <w:rFonts w:ascii="Adobe Garamond Pro" w:hAnsi="Adobe Garamond Pro" w:cs="Tahoma"/>
        <w:color w:val="04843B"/>
        <w:sz w:val="20"/>
        <w:szCs w:val="22"/>
      </w:rPr>
      <w:t>Public Ledger Building, 620 Chestnut Street, Suite 572, Philadelphia, PA 19106-</w:t>
    </w:r>
    <w:proofErr w:type="gramStart"/>
    <w:r w:rsidRPr="005F6711">
      <w:rPr>
        <w:rFonts w:ascii="Adobe Garamond Pro" w:hAnsi="Adobe Garamond Pro" w:cs="Tahoma"/>
        <w:color w:val="04843B"/>
        <w:sz w:val="20"/>
        <w:szCs w:val="22"/>
      </w:rPr>
      <w:t>3413</w:t>
    </w:r>
    <w:r w:rsidR="001F2F15">
      <w:rPr>
        <w:rFonts w:ascii="Adobe Garamond Pro" w:hAnsi="Adobe Garamond Pro" w:cs="Tahoma"/>
        <w:color w:val="04843B"/>
        <w:sz w:val="20"/>
        <w:szCs w:val="22"/>
      </w:rPr>
      <w:t xml:space="preserve">  lcchc.wordpress.com</w:t>
    </w:r>
    <w:proofErr w:type="gramEnd"/>
    <w:r w:rsidR="001F2F15">
      <w:rPr>
        <w:rFonts w:ascii="Adobe Garamond Pro" w:hAnsi="Adobe Garamond Pro" w:cs="Tahoma"/>
        <w:color w:val="04843B"/>
        <w:sz w:val="20"/>
        <w:szCs w:val="22"/>
      </w:rPr>
      <w:t xml:space="preserve"> </w:t>
    </w:r>
    <w:r w:rsidRPr="005F6711">
      <w:rPr>
        <w:rFonts w:ascii="Adobe Garamond Pro" w:hAnsi="Adobe Garamond Pro"/>
        <w:color w:val="04843B"/>
        <w:sz w:val="20"/>
        <w:szCs w:val="22"/>
      </w:rPr>
      <w:ptab w:relativeTo="margin" w:alignment="center" w:leader="none"/>
    </w:r>
    <w:r w:rsidRPr="005F6711">
      <w:rPr>
        <w:rFonts w:ascii="Adobe Garamond Pro" w:hAnsi="Adobe Garamond Pro"/>
        <w:color w:val="04843B"/>
        <w:sz w:val="20"/>
        <w:szCs w:val="22"/>
      </w:rPr>
      <w:ptab w:relativeTo="margin" w:alignment="right" w:leader="none"/>
    </w:r>
  </w:p>
  <w:p w:rsidR="00C11D3C" w:rsidRDefault="00C11D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3C" w:rsidRDefault="00C11D3C">
      <w:r>
        <w:separator/>
      </w:r>
    </w:p>
  </w:footnote>
  <w:footnote w:type="continuationSeparator" w:id="0">
    <w:p w:rsidR="00C11D3C" w:rsidRDefault="00C11D3C">
      <w:r>
        <w:continuationSeparator/>
      </w:r>
    </w:p>
  </w:footnote>
  <w:footnote w:id="1">
    <w:p w:rsidR="006B2934" w:rsidRDefault="006B2934">
      <w:pPr>
        <w:pStyle w:val="FootnoteText"/>
      </w:pPr>
      <w:r>
        <w:rPr>
          <w:rStyle w:val="FootnoteReference"/>
        </w:rPr>
        <w:footnoteRef/>
      </w:r>
      <w:r>
        <w:t xml:space="preserve"> Community Health Center Financial Perspectives: Identifying the Risks of Health Center Failure. Capital Link. October 2014 </w:t>
      </w:r>
      <w:hyperlink r:id="rId1" w:history="1">
        <w:r w:rsidRPr="00F377A6">
          <w:rPr>
            <w:rStyle w:val="Hyperlink"/>
          </w:rPr>
          <w:t>http://www.caplink.org/images/stories/Resources/reports/Infographic-Identifying-the-Risks-of-Health-Center-Failure.pdf</w:t>
        </w:r>
      </w:hyperlink>
      <w:r>
        <w:t xml:space="preserve">  Accessed September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3C" w:rsidRPr="002F47AD" w:rsidRDefault="00C11D3C" w:rsidP="006B6B3E">
    <w:pPr>
      <w:pStyle w:val="Header"/>
      <w:ind w:left="-1440"/>
      <w:jc w:val="center"/>
      <w:rPr>
        <w:color w:val="006600"/>
      </w:rPr>
    </w:pPr>
    <w:r>
      <w:rPr>
        <w:noProof/>
      </w:rPr>
      <w:drawing>
        <wp:anchor distT="0" distB="0" distL="114300" distR="114300" simplePos="0" relativeHeight="251658240" behindDoc="0" locked="0" layoutInCell="1" allowOverlap="1">
          <wp:simplePos x="0" y="0"/>
          <wp:positionH relativeFrom="column">
            <wp:posOffset>379095</wp:posOffset>
          </wp:positionH>
          <wp:positionV relativeFrom="paragraph">
            <wp:posOffset>0</wp:posOffset>
          </wp:positionV>
          <wp:extent cx="4126230" cy="88328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ders Co.png"/>
                  <pic:cNvPicPr/>
                </pic:nvPicPr>
                <pic:blipFill>
                  <a:blip r:embed="rId1">
                    <a:extLst>
                      <a:ext uri="{28A0092B-C50C-407E-A947-70E740481C1C}">
                        <a14:useLocalDpi xmlns:a14="http://schemas.microsoft.com/office/drawing/2010/main" val="0"/>
                      </a:ext>
                    </a:extLst>
                  </a:blip>
                  <a:stretch>
                    <a:fillRect/>
                  </a:stretch>
                </pic:blipFill>
                <pic:spPr>
                  <a:xfrm>
                    <a:off x="0" y="0"/>
                    <a:ext cx="4126230" cy="883285"/>
                  </a:xfrm>
                  <a:prstGeom prst="rect">
                    <a:avLst/>
                  </a:prstGeom>
                </pic:spPr>
              </pic:pic>
            </a:graphicData>
          </a:graphic>
          <wp14:sizeRelH relativeFrom="page">
            <wp14:pctWidth>0</wp14:pctWidth>
          </wp14:sizeRelH>
          <wp14:sizeRelV relativeFrom="page">
            <wp14:pctHeight>0</wp14:pctHeight>
          </wp14:sizeRelV>
        </wp:anchor>
      </w:drawing>
    </w:r>
  </w:p>
  <w:p w:rsidR="00C11D3C" w:rsidRDefault="00C11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1459"/>
    <w:multiLevelType w:val="singleLevel"/>
    <w:tmpl w:val="04090017"/>
    <w:lvl w:ilvl="0">
      <w:start w:val="1"/>
      <w:numFmt w:val="lowerLetter"/>
      <w:lvlText w:val="%1)"/>
      <w:lvlJc w:val="left"/>
      <w:pPr>
        <w:tabs>
          <w:tab w:val="num" w:pos="360"/>
        </w:tabs>
        <w:ind w:left="360" w:hanging="360"/>
      </w:pPr>
    </w:lvl>
  </w:abstractNum>
  <w:abstractNum w:abstractNumId="1">
    <w:nsid w:val="4BCA5BAD"/>
    <w:multiLevelType w:val="hybridMultilevel"/>
    <w:tmpl w:val="8A1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07728"/>
    <w:multiLevelType w:val="hybridMultilevel"/>
    <w:tmpl w:val="1D5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8B"/>
    <w:rsid w:val="000063B8"/>
    <w:rsid w:val="000077F3"/>
    <w:rsid w:val="00077191"/>
    <w:rsid w:val="000E660C"/>
    <w:rsid w:val="001039F3"/>
    <w:rsid w:val="00130C75"/>
    <w:rsid w:val="00167B57"/>
    <w:rsid w:val="001736ED"/>
    <w:rsid w:val="001770ED"/>
    <w:rsid w:val="001B29DC"/>
    <w:rsid w:val="001F2F15"/>
    <w:rsid w:val="00253832"/>
    <w:rsid w:val="002C1A9E"/>
    <w:rsid w:val="002D718D"/>
    <w:rsid w:val="002E6BFC"/>
    <w:rsid w:val="002F47AD"/>
    <w:rsid w:val="00316BFA"/>
    <w:rsid w:val="00325136"/>
    <w:rsid w:val="0034615B"/>
    <w:rsid w:val="00371641"/>
    <w:rsid w:val="00397EAC"/>
    <w:rsid w:val="003E041D"/>
    <w:rsid w:val="0042051F"/>
    <w:rsid w:val="00471F58"/>
    <w:rsid w:val="004766EA"/>
    <w:rsid w:val="0048697E"/>
    <w:rsid w:val="004A11CC"/>
    <w:rsid w:val="00517F65"/>
    <w:rsid w:val="005244E7"/>
    <w:rsid w:val="00557E15"/>
    <w:rsid w:val="0056678F"/>
    <w:rsid w:val="0057634B"/>
    <w:rsid w:val="0059283F"/>
    <w:rsid w:val="005C034D"/>
    <w:rsid w:val="005F6711"/>
    <w:rsid w:val="00624860"/>
    <w:rsid w:val="00625FE3"/>
    <w:rsid w:val="00640A51"/>
    <w:rsid w:val="006768A4"/>
    <w:rsid w:val="006B2934"/>
    <w:rsid w:val="006B4EFF"/>
    <w:rsid w:val="006B6B3E"/>
    <w:rsid w:val="006F56AE"/>
    <w:rsid w:val="00723014"/>
    <w:rsid w:val="007267E7"/>
    <w:rsid w:val="007332B7"/>
    <w:rsid w:val="007574F6"/>
    <w:rsid w:val="00757FF8"/>
    <w:rsid w:val="00775043"/>
    <w:rsid w:val="00796CDD"/>
    <w:rsid w:val="007B43F3"/>
    <w:rsid w:val="007C778A"/>
    <w:rsid w:val="007D298B"/>
    <w:rsid w:val="007E1EC8"/>
    <w:rsid w:val="0083051F"/>
    <w:rsid w:val="00834543"/>
    <w:rsid w:val="00834A8A"/>
    <w:rsid w:val="00844004"/>
    <w:rsid w:val="00863A3C"/>
    <w:rsid w:val="00892EB2"/>
    <w:rsid w:val="008B666B"/>
    <w:rsid w:val="008B6E14"/>
    <w:rsid w:val="008C0723"/>
    <w:rsid w:val="008D3C21"/>
    <w:rsid w:val="00900B12"/>
    <w:rsid w:val="009304FB"/>
    <w:rsid w:val="0094169F"/>
    <w:rsid w:val="00987CED"/>
    <w:rsid w:val="0099034A"/>
    <w:rsid w:val="009D712F"/>
    <w:rsid w:val="009E29B6"/>
    <w:rsid w:val="00A1571F"/>
    <w:rsid w:val="00A16EC5"/>
    <w:rsid w:val="00A30A3D"/>
    <w:rsid w:val="00A532BB"/>
    <w:rsid w:val="00A65E51"/>
    <w:rsid w:val="00A67DEE"/>
    <w:rsid w:val="00A73A0F"/>
    <w:rsid w:val="00A809C8"/>
    <w:rsid w:val="00AA2FD5"/>
    <w:rsid w:val="00AA5FCE"/>
    <w:rsid w:val="00AC14BC"/>
    <w:rsid w:val="00AD7D28"/>
    <w:rsid w:val="00B02012"/>
    <w:rsid w:val="00B32BA8"/>
    <w:rsid w:val="00B611BE"/>
    <w:rsid w:val="00B80B97"/>
    <w:rsid w:val="00B81923"/>
    <w:rsid w:val="00BA7144"/>
    <w:rsid w:val="00BB158B"/>
    <w:rsid w:val="00BD5432"/>
    <w:rsid w:val="00C11D3C"/>
    <w:rsid w:val="00C4446A"/>
    <w:rsid w:val="00C4738C"/>
    <w:rsid w:val="00C50DE4"/>
    <w:rsid w:val="00C72C4D"/>
    <w:rsid w:val="00D30702"/>
    <w:rsid w:val="00D663A0"/>
    <w:rsid w:val="00D727A8"/>
    <w:rsid w:val="00D9022E"/>
    <w:rsid w:val="00DF2844"/>
    <w:rsid w:val="00EC58FE"/>
    <w:rsid w:val="00EE6DC6"/>
    <w:rsid w:val="00F04F6E"/>
    <w:rsid w:val="00F32A73"/>
    <w:rsid w:val="00F7442E"/>
    <w:rsid w:val="00FC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CE"/>
    <w:rPr>
      <w:sz w:val="24"/>
      <w:szCs w:val="24"/>
    </w:rPr>
  </w:style>
  <w:style w:type="paragraph" w:styleId="Heading1">
    <w:name w:val="heading 1"/>
    <w:basedOn w:val="Normal"/>
    <w:next w:val="Normal"/>
    <w:link w:val="Heading1Char"/>
    <w:qFormat/>
    <w:rsid w:val="00AA5FCE"/>
    <w:pPr>
      <w:keepNext/>
      <w:jc w:val="right"/>
      <w:outlineLvl w:val="0"/>
    </w:pPr>
    <w:rPr>
      <w:rFonts w:ascii="Comic Sans MS" w:hAnsi="Comic Sans MS"/>
      <w:b/>
      <w:sz w:val="15"/>
      <w:szCs w:val="20"/>
    </w:rPr>
  </w:style>
  <w:style w:type="paragraph" w:styleId="Heading2">
    <w:name w:val="heading 2"/>
    <w:basedOn w:val="Normal"/>
    <w:next w:val="Normal"/>
    <w:link w:val="Heading2Char"/>
    <w:qFormat/>
    <w:rsid w:val="00557E15"/>
    <w:pPr>
      <w:keepNext/>
      <w:outlineLvl w:val="1"/>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5FCE"/>
    <w:pPr>
      <w:tabs>
        <w:tab w:val="center" w:pos="4320"/>
        <w:tab w:val="right" w:pos="8640"/>
      </w:tabs>
    </w:pPr>
  </w:style>
  <w:style w:type="paragraph" w:styleId="Footer">
    <w:name w:val="footer"/>
    <w:basedOn w:val="Normal"/>
    <w:link w:val="FooterChar"/>
    <w:uiPriority w:val="99"/>
    <w:rsid w:val="00AA5FCE"/>
    <w:pPr>
      <w:tabs>
        <w:tab w:val="center" w:pos="4320"/>
        <w:tab w:val="right" w:pos="8640"/>
      </w:tabs>
    </w:pPr>
  </w:style>
  <w:style w:type="character" w:customStyle="1" w:styleId="Heading1Char">
    <w:name w:val="Heading 1 Char"/>
    <w:link w:val="Heading1"/>
    <w:rsid w:val="00C50DE4"/>
    <w:rPr>
      <w:rFonts w:ascii="Comic Sans MS" w:hAnsi="Comic Sans MS"/>
      <w:b/>
      <w:sz w:val="15"/>
    </w:rPr>
  </w:style>
  <w:style w:type="character" w:customStyle="1" w:styleId="HeaderChar">
    <w:name w:val="Header Char"/>
    <w:basedOn w:val="DefaultParagraphFont"/>
    <w:link w:val="Header"/>
    <w:uiPriority w:val="99"/>
    <w:rsid w:val="00863A3C"/>
    <w:rPr>
      <w:sz w:val="24"/>
      <w:szCs w:val="24"/>
    </w:rPr>
  </w:style>
  <w:style w:type="paragraph" w:styleId="BalloonText">
    <w:name w:val="Balloon Text"/>
    <w:basedOn w:val="Normal"/>
    <w:link w:val="BalloonTextChar"/>
    <w:rsid w:val="00863A3C"/>
    <w:rPr>
      <w:rFonts w:ascii="Tahoma" w:hAnsi="Tahoma" w:cs="Tahoma"/>
      <w:sz w:val="16"/>
      <w:szCs w:val="16"/>
    </w:rPr>
  </w:style>
  <w:style w:type="character" w:customStyle="1" w:styleId="BalloonTextChar">
    <w:name w:val="Balloon Text Char"/>
    <w:basedOn w:val="DefaultParagraphFont"/>
    <w:link w:val="BalloonText"/>
    <w:rsid w:val="00863A3C"/>
    <w:rPr>
      <w:rFonts w:ascii="Tahoma" w:hAnsi="Tahoma" w:cs="Tahoma"/>
      <w:sz w:val="16"/>
      <w:szCs w:val="16"/>
    </w:rPr>
  </w:style>
  <w:style w:type="character" w:customStyle="1" w:styleId="Heading2Char">
    <w:name w:val="Heading 2 Char"/>
    <w:basedOn w:val="DefaultParagraphFont"/>
    <w:link w:val="Heading2"/>
    <w:rsid w:val="00557E15"/>
    <w:rPr>
      <w:b/>
      <w:snapToGrid w:val="0"/>
      <w:sz w:val="22"/>
    </w:rPr>
  </w:style>
  <w:style w:type="character" w:customStyle="1" w:styleId="FooterChar">
    <w:name w:val="Footer Char"/>
    <w:basedOn w:val="DefaultParagraphFont"/>
    <w:link w:val="Footer"/>
    <w:uiPriority w:val="99"/>
    <w:rsid w:val="00C72C4D"/>
    <w:rPr>
      <w:sz w:val="24"/>
      <w:szCs w:val="24"/>
    </w:rPr>
  </w:style>
  <w:style w:type="character" w:styleId="Hyperlink">
    <w:name w:val="Hyperlink"/>
    <w:basedOn w:val="DefaultParagraphFont"/>
    <w:rsid w:val="006B4EFF"/>
    <w:rPr>
      <w:color w:val="0000FF" w:themeColor="hyperlink"/>
      <w:u w:val="single"/>
    </w:rPr>
  </w:style>
  <w:style w:type="character" w:styleId="Emphasis">
    <w:name w:val="Emphasis"/>
    <w:basedOn w:val="DefaultParagraphFont"/>
    <w:qFormat/>
    <w:rsid w:val="00624860"/>
    <w:rPr>
      <w:i/>
      <w:iCs/>
    </w:rPr>
  </w:style>
  <w:style w:type="character" w:customStyle="1" w:styleId="apple-converted-space">
    <w:name w:val="apple-converted-space"/>
    <w:basedOn w:val="DefaultParagraphFont"/>
    <w:rsid w:val="00844004"/>
  </w:style>
  <w:style w:type="paragraph" w:styleId="ListParagraph">
    <w:name w:val="List Paragraph"/>
    <w:basedOn w:val="Normal"/>
    <w:uiPriority w:val="34"/>
    <w:qFormat/>
    <w:rsid w:val="00844004"/>
    <w:pPr>
      <w:ind w:left="720"/>
      <w:contextualSpacing/>
    </w:pPr>
  </w:style>
  <w:style w:type="paragraph" w:styleId="FootnoteText">
    <w:name w:val="footnote text"/>
    <w:basedOn w:val="Normal"/>
    <w:link w:val="FootnoteTextChar"/>
    <w:rsid w:val="006B2934"/>
    <w:rPr>
      <w:sz w:val="20"/>
      <w:szCs w:val="20"/>
    </w:rPr>
  </w:style>
  <w:style w:type="character" w:customStyle="1" w:styleId="FootnoteTextChar">
    <w:name w:val="Footnote Text Char"/>
    <w:basedOn w:val="DefaultParagraphFont"/>
    <w:link w:val="FootnoteText"/>
    <w:rsid w:val="006B2934"/>
  </w:style>
  <w:style w:type="character" w:styleId="FootnoteReference">
    <w:name w:val="footnote reference"/>
    <w:basedOn w:val="DefaultParagraphFont"/>
    <w:rsid w:val="006B2934"/>
    <w:rPr>
      <w:vertAlign w:val="superscript"/>
    </w:rPr>
  </w:style>
  <w:style w:type="character" w:styleId="FollowedHyperlink">
    <w:name w:val="FollowedHyperlink"/>
    <w:basedOn w:val="DefaultParagraphFont"/>
    <w:rsid w:val="006B29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CE"/>
    <w:rPr>
      <w:sz w:val="24"/>
      <w:szCs w:val="24"/>
    </w:rPr>
  </w:style>
  <w:style w:type="paragraph" w:styleId="Heading1">
    <w:name w:val="heading 1"/>
    <w:basedOn w:val="Normal"/>
    <w:next w:val="Normal"/>
    <w:link w:val="Heading1Char"/>
    <w:qFormat/>
    <w:rsid w:val="00AA5FCE"/>
    <w:pPr>
      <w:keepNext/>
      <w:jc w:val="right"/>
      <w:outlineLvl w:val="0"/>
    </w:pPr>
    <w:rPr>
      <w:rFonts w:ascii="Comic Sans MS" w:hAnsi="Comic Sans MS"/>
      <w:b/>
      <w:sz w:val="15"/>
      <w:szCs w:val="20"/>
    </w:rPr>
  </w:style>
  <w:style w:type="paragraph" w:styleId="Heading2">
    <w:name w:val="heading 2"/>
    <w:basedOn w:val="Normal"/>
    <w:next w:val="Normal"/>
    <w:link w:val="Heading2Char"/>
    <w:qFormat/>
    <w:rsid w:val="00557E15"/>
    <w:pPr>
      <w:keepNext/>
      <w:outlineLvl w:val="1"/>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5FCE"/>
    <w:pPr>
      <w:tabs>
        <w:tab w:val="center" w:pos="4320"/>
        <w:tab w:val="right" w:pos="8640"/>
      </w:tabs>
    </w:pPr>
  </w:style>
  <w:style w:type="paragraph" w:styleId="Footer">
    <w:name w:val="footer"/>
    <w:basedOn w:val="Normal"/>
    <w:link w:val="FooterChar"/>
    <w:uiPriority w:val="99"/>
    <w:rsid w:val="00AA5FCE"/>
    <w:pPr>
      <w:tabs>
        <w:tab w:val="center" w:pos="4320"/>
        <w:tab w:val="right" w:pos="8640"/>
      </w:tabs>
    </w:pPr>
  </w:style>
  <w:style w:type="character" w:customStyle="1" w:styleId="Heading1Char">
    <w:name w:val="Heading 1 Char"/>
    <w:link w:val="Heading1"/>
    <w:rsid w:val="00C50DE4"/>
    <w:rPr>
      <w:rFonts w:ascii="Comic Sans MS" w:hAnsi="Comic Sans MS"/>
      <w:b/>
      <w:sz w:val="15"/>
    </w:rPr>
  </w:style>
  <w:style w:type="character" w:customStyle="1" w:styleId="HeaderChar">
    <w:name w:val="Header Char"/>
    <w:basedOn w:val="DefaultParagraphFont"/>
    <w:link w:val="Header"/>
    <w:uiPriority w:val="99"/>
    <w:rsid w:val="00863A3C"/>
    <w:rPr>
      <w:sz w:val="24"/>
      <w:szCs w:val="24"/>
    </w:rPr>
  </w:style>
  <w:style w:type="paragraph" w:styleId="BalloonText">
    <w:name w:val="Balloon Text"/>
    <w:basedOn w:val="Normal"/>
    <w:link w:val="BalloonTextChar"/>
    <w:rsid w:val="00863A3C"/>
    <w:rPr>
      <w:rFonts w:ascii="Tahoma" w:hAnsi="Tahoma" w:cs="Tahoma"/>
      <w:sz w:val="16"/>
      <w:szCs w:val="16"/>
    </w:rPr>
  </w:style>
  <w:style w:type="character" w:customStyle="1" w:styleId="BalloonTextChar">
    <w:name w:val="Balloon Text Char"/>
    <w:basedOn w:val="DefaultParagraphFont"/>
    <w:link w:val="BalloonText"/>
    <w:rsid w:val="00863A3C"/>
    <w:rPr>
      <w:rFonts w:ascii="Tahoma" w:hAnsi="Tahoma" w:cs="Tahoma"/>
      <w:sz w:val="16"/>
      <w:szCs w:val="16"/>
    </w:rPr>
  </w:style>
  <w:style w:type="character" w:customStyle="1" w:styleId="Heading2Char">
    <w:name w:val="Heading 2 Char"/>
    <w:basedOn w:val="DefaultParagraphFont"/>
    <w:link w:val="Heading2"/>
    <w:rsid w:val="00557E15"/>
    <w:rPr>
      <w:b/>
      <w:snapToGrid w:val="0"/>
      <w:sz w:val="22"/>
    </w:rPr>
  </w:style>
  <w:style w:type="character" w:customStyle="1" w:styleId="FooterChar">
    <w:name w:val="Footer Char"/>
    <w:basedOn w:val="DefaultParagraphFont"/>
    <w:link w:val="Footer"/>
    <w:uiPriority w:val="99"/>
    <w:rsid w:val="00C72C4D"/>
    <w:rPr>
      <w:sz w:val="24"/>
      <w:szCs w:val="24"/>
    </w:rPr>
  </w:style>
  <w:style w:type="character" w:styleId="Hyperlink">
    <w:name w:val="Hyperlink"/>
    <w:basedOn w:val="DefaultParagraphFont"/>
    <w:rsid w:val="006B4EFF"/>
    <w:rPr>
      <w:color w:val="0000FF" w:themeColor="hyperlink"/>
      <w:u w:val="single"/>
    </w:rPr>
  </w:style>
  <w:style w:type="character" w:styleId="Emphasis">
    <w:name w:val="Emphasis"/>
    <w:basedOn w:val="DefaultParagraphFont"/>
    <w:qFormat/>
    <w:rsid w:val="00624860"/>
    <w:rPr>
      <w:i/>
      <w:iCs/>
    </w:rPr>
  </w:style>
  <w:style w:type="character" w:customStyle="1" w:styleId="apple-converted-space">
    <w:name w:val="apple-converted-space"/>
    <w:basedOn w:val="DefaultParagraphFont"/>
    <w:rsid w:val="00844004"/>
  </w:style>
  <w:style w:type="paragraph" w:styleId="ListParagraph">
    <w:name w:val="List Paragraph"/>
    <w:basedOn w:val="Normal"/>
    <w:uiPriority w:val="34"/>
    <w:qFormat/>
    <w:rsid w:val="00844004"/>
    <w:pPr>
      <w:ind w:left="720"/>
      <w:contextualSpacing/>
    </w:pPr>
  </w:style>
  <w:style w:type="paragraph" w:styleId="FootnoteText">
    <w:name w:val="footnote text"/>
    <w:basedOn w:val="Normal"/>
    <w:link w:val="FootnoteTextChar"/>
    <w:rsid w:val="006B2934"/>
    <w:rPr>
      <w:sz w:val="20"/>
      <w:szCs w:val="20"/>
    </w:rPr>
  </w:style>
  <w:style w:type="character" w:customStyle="1" w:styleId="FootnoteTextChar">
    <w:name w:val="Footnote Text Char"/>
    <w:basedOn w:val="DefaultParagraphFont"/>
    <w:link w:val="FootnoteText"/>
    <w:rsid w:val="006B2934"/>
  </w:style>
  <w:style w:type="character" w:styleId="FootnoteReference">
    <w:name w:val="footnote reference"/>
    <w:basedOn w:val="DefaultParagraphFont"/>
    <w:rsid w:val="006B2934"/>
    <w:rPr>
      <w:vertAlign w:val="superscript"/>
    </w:rPr>
  </w:style>
  <w:style w:type="character" w:styleId="FollowedHyperlink">
    <w:name w:val="FollowedHyperlink"/>
    <w:basedOn w:val="DefaultParagraphFont"/>
    <w:rsid w:val="006B2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plink.org/images/stories/Resources/reports/Infographic-Identifying-the-Risks-of-Health-Center-Fail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A5CB2A-9630-45DF-875A-11295E85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Capital Link</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DiCristofaro</dc:creator>
  <cp:lastModifiedBy>Alex Leggieri</cp:lastModifiedBy>
  <cp:revision>2</cp:revision>
  <cp:lastPrinted>2016-03-08T15:58:00Z</cp:lastPrinted>
  <dcterms:created xsi:type="dcterms:W3CDTF">2016-03-16T19:06:00Z</dcterms:created>
  <dcterms:modified xsi:type="dcterms:W3CDTF">2016-03-16T19:06:00Z</dcterms:modified>
</cp:coreProperties>
</file>