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CB" w:rsidRPr="002132A0" w:rsidRDefault="00E836CB" w:rsidP="0022199B">
      <w:pPr>
        <w:pStyle w:val="Heading3"/>
        <w:jc w:val="center"/>
        <w:rPr>
          <w:rFonts w:asciiTheme="minorHAnsi" w:eastAsia="Times New Roman" w:hAnsiTheme="minorHAnsi" w:cs="Arial"/>
          <w:sz w:val="24"/>
          <w:szCs w:val="24"/>
        </w:rPr>
      </w:pPr>
      <w:r w:rsidRPr="002132A0">
        <w:rPr>
          <w:noProof/>
          <w:sz w:val="24"/>
          <w:szCs w:val="24"/>
        </w:rPr>
        <w:drawing>
          <wp:inline distT="0" distB="0" distL="0" distR="0" wp14:anchorId="55E9CBCC" wp14:editId="053C43C1">
            <wp:extent cx="5905500" cy="628650"/>
            <wp:effectExtent l="0" t="0" r="0" b="0"/>
            <wp:docPr id="1" name="Picture 1" descr="http://www.cdfi.org/wp-content/uploads/2012/06/cdfibann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fi.org/wp-content/uploads/2012/06/cdfibanner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32706"/>
                    </a:xfrm>
                    <a:prstGeom prst="rect">
                      <a:avLst/>
                    </a:prstGeom>
                    <a:noFill/>
                    <a:ln>
                      <a:noFill/>
                    </a:ln>
                  </pic:spPr>
                </pic:pic>
              </a:graphicData>
            </a:graphic>
          </wp:inline>
        </w:drawing>
      </w:r>
    </w:p>
    <w:p w:rsidR="0082256F" w:rsidRPr="002132A0" w:rsidRDefault="002132A0" w:rsidP="002132A0">
      <w:pPr>
        <w:jc w:val="center"/>
        <w:rPr>
          <w:rFonts w:ascii="Times New Roman" w:hAnsi="Times New Roman"/>
          <w:b/>
          <w:sz w:val="24"/>
          <w:szCs w:val="24"/>
          <w:u w:val="single"/>
        </w:rPr>
      </w:pPr>
      <w:r w:rsidRPr="002132A0">
        <w:rPr>
          <w:rFonts w:ascii="Times New Roman" w:hAnsi="Times New Roman"/>
          <w:b/>
          <w:sz w:val="24"/>
          <w:szCs w:val="24"/>
          <w:u w:val="single"/>
        </w:rPr>
        <w:t>President Obama’s FY 2014 Budget</w:t>
      </w:r>
    </w:p>
    <w:p w:rsidR="002132A0" w:rsidRDefault="002132A0">
      <w:pPr>
        <w:rPr>
          <w:rFonts w:asciiTheme="minorHAnsi" w:hAnsiTheme="minorHAnsi"/>
        </w:rPr>
      </w:pPr>
    </w:p>
    <w:p w:rsidR="0022199B" w:rsidRPr="0022199B" w:rsidRDefault="0022199B" w:rsidP="0022199B">
      <w:pPr>
        <w:spacing w:after="200" w:line="276" w:lineRule="auto"/>
        <w:rPr>
          <w:rFonts w:ascii="Times New Roman" w:hAnsi="Times New Roman"/>
          <w:iCs/>
        </w:rPr>
      </w:pPr>
      <w:r w:rsidRPr="0022199B">
        <w:rPr>
          <w:rFonts w:ascii="Times New Roman" w:hAnsi="Times New Roman"/>
          <w:bCs/>
        </w:rPr>
        <w:t xml:space="preserve">President Obama sent his FY’14 budget to Congress </w:t>
      </w:r>
      <w:r w:rsidR="002132A0">
        <w:rPr>
          <w:rFonts w:ascii="Times New Roman" w:hAnsi="Times New Roman"/>
          <w:bCs/>
        </w:rPr>
        <w:t>on April10, 2013</w:t>
      </w:r>
      <w:r w:rsidRPr="0022199B">
        <w:rPr>
          <w:rFonts w:ascii="Times New Roman" w:hAnsi="Times New Roman"/>
          <w:bCs/>
        </w:rPr>
        <w:t xml:space="preserve">. The Administration’s $3.7 trillion </w:t>
      </w:r>
      <w:r w:rsidR="002132A0">
        <w:rPr>
          <w:rFonts w:ascii="Times New Roman" w:hAnsi="Times New Roman"/>
          <w:bCs/>
        </w:rPr>
        <w:t>budget</w:t>
      </w:r>
      <w:r w:rsidRPr="0022199B">
        <w:rPr>
          <w:rFonts w:ascii="Times New Roman" w:hAnsi="Times New Roman"/>
          <w:bCs/>
        </w:rPr>
        <w:t xml:space="preserve"> includes $224.9 million for the CDFI Fund, which is both $3.9 million more than the current funding and the FY’13 budget request. The White House budget also calls</w:t>
      </w:r>
      <w:r w:rsidRPr="0022199B">
        <w:rPr>
          <w:rFonts w:ascii="Times New Roman" w:hAnsi="Times New Roman"/>
          <w:iCs/>
        </w:rPr>
        <w:t xml:space="preserve"> for a permanent extension of the New Markets Tax Credit (NMTC) with $5 billion in annual NMTC allocation authority. </w:t>
      </w:r>
    </w:p>
    <w:p w:rsidR="0022199B" w:rsidRPr="0022199B" w:rsidRDefault="0022199B" w:rsidP="0022199B">
      <w:pPr>
        <w:spacing w:after="200" w:line="276" w:lineRule="auto"/>
        <w:rPr>
          <w:rFonts w:ascii="Times New Roman" w:hAnsi="Times New Roman"/>
          <w:iCs/>
        </w:rPr>
      </w:pPr>
      <w:r w:rsidRPr="0022199B">
        <w:rPr>
          <w:rFonts w:ascii="Times New Roman" w:hAnsi="Times New Roman"/>
          <w:iCs/>
        </w:rPr>
        <w:t xml:space="preserve">The President continues to support investing in the Healthy Foods Financing Initiative (HFFI). This year’s budget sets aside $35 million in the CDFI Fund account for HFFI, an increase of $13 million, and recommends that $250 million in NMTC allocation authority be set-aside for HFFI. </w:t>
      </w:r>
    </w:p>
    <w:p w:rsidR="0022199B" w:rsidRPr="0022199B" w:rsidRDefault="0022199B" w:rsidP="0022199B">
      <w:pPr>
        <w:spacing w:after="200" w:line="276" w:lineRule="auto"/>
        <w:rPr>
          <w:rFonts w:ascii="Times New Roman" w:hAnsi="Times New Roman"/>
          <w:iCs/>
        </w:rPr>
      </w:pPr>
      <w:r w:rsidRPr="0022199B">
        <w:rPr>
          <w:rFonts w:ascii="Times New Roman" w:hAnsi="Times New Roman"/>
          <w:iCs/>
        </w:rPr>
        <w:t xml:space="preserve">Within the CDFI Fund account, the budget calls for a $10 million set-aside for the Bank Enterprise Award (BEA) Program which is $8 million below current funding and down from $15 million requested by the President in FY ’13. The budget requests a $12 million set-aside for Native American CDFI Assistance (NACA) which is a freeze at the FY13 enacted level and consistent with previous budget requests. The President requested $23.6 million to support CDFI Fund administration cost for the next fiscal year. The budget does not request funding for the Bank on USA Initiative and does not request match waivers for any CDFI applicants. A waiver of the $3 million funding cap is requested for CDFIs receiving HFFI funds.  </w:t>
      </w:r>
    </w:p>
    <w:p w:rsidR="0022199B" w:rsidRPr="0022199B" w:rsidRDefault="0022199B" w:rsidP="002132A0">
      <w:pPr>
        <w:rPr>
          <w:rFonts w:ascii="Times New Roman" w:hAnsi="Times New Roman"/>
          <w:iCs/>
        </w:rPr>
      </w:pPr>
      <w:r w:rsidRPr="0022199B">
        <w:rPr>
          <w:rFonts w:ascii="Times New Roman" w:hAnsi="Times New Roman"/>
          <w:iCs/>
        </w:rPr>
        <w:t xml:space="preserve">The President’s budget </w:t>
      </w:r>
      <w:r>
        <w:rPr>
          <w:rFonts w:ascii="Times New Roman" w:hAnsi="Times New Roman"/>
          <w:iCs/>
        </w:rPr>
        <w:t>asks Congress to extend</w:t>
      </w:r>
      <w:r w:rsidRPr="0022199B">
        <w:rPr>
          <w:rFonts w:ascii="Times New Roman" w:hAnsi="Times New Roman"/>
          <w:iCs/>
        </w:rPr>
        <w:t xml:space="preserve"> the CDFI Bond Program through FY 2015 with $1 billion in bond authority for FY 14</w:t>
      </w:r>
      <w:r>
        <w:rPr>
          <w:rFonts w:ascii="Times New Roman" w:hAnsi="Times New Roman"/>
          <w:iCs/>
        </w:rPr>
        <w:t xml:space="preserve"> and</w:t>
      </w:r>
      <w:r w:rsidRPr="0022199B">
        <w:rPr>
          <w:rFonts w:ascii="Times New Roman" w:hAnsi="Times New Roman"/>
          <w:iCs/>
        </w:rPr>
        <w:t xml:space="preserve"> </w:t>
      </w:r>
      <w:r w:rsidR="002132A0" w:rsidRPr="002132A0">
        <w:rPr>
          <w:rFonts w:ascii="Times New Roman" w:hAnsi="Times New Roman"/>
          <w:iCs/>
        </w:rPr>
        <w:t>whil</w:t>
      </w:r>
      <w:r w:rsidR="002132A0">
        <w:rPr>
          <w:rFonts w:ascii="Times New Roman" w:hAnsi="Times New Roman"/>
          <w:iCs/>
        </w:rPr>
        <w:t xml:space="preserve">e the budget does not request a subsidy </w:t>
      </w:r>
      <w:r w:rsidR="002132A0" w:rsidRPr="002132A0">
        <w:rPr>
          <w:rFonts w:ascii="Times New Roman" w:hAnsi="Times New Roman"/>
          <w:iCs/>
        </w:rPr>
        <w:t xml:space="preserve">for the CDFI Bond Program </w:t>
      </w:r>
      <w:r w:rsidR="002132A0">
        <w:rPr>
          <w:rFonts w:ascii="Times New Roman" w:hAnsi="Times New Roman"/>
          <w:iCs/>
        </w:rPr>
        <w:t>the budget</w:t>
      </w:r>
      <w:r w:rsidR="002132A0" w:rsidRPr="002132A0">
        <w:rPr>
          <w:rFonts w:ascii="Times New Roman" w:hAnsi="Times New Roman"/>
          <w:iCs/>
        </w:rPr>
        <w:t xml:space="preserve"> suggested  that “up to $10 million” be made available for the</w:t>
      </w:r>
      <w:r w:rsidR="002132A0">
        <w:rPr>
          <w:rFonts w:ascii="Times New Roman" w:hAnsi="Times New Roman"/>
          <w:iCs/>
        </w:rPr>
        <w:t xml:space="preserve"> cost of CDFI Bond Guarantees. </w:t>
      </w:r>
    </w:p>
    <w:p w:rsidR="0022199B" w:rsidRPr="0022199B" w:rsidRDefault="0022199B" w:rsidP="0022199B">
      <w:pPr>
        <w:rPr>
          <w:rFonts w:asciiTheme="majorHAnsi" w:eastAsia="Times New Roman" w:hAnsiTheme="majorHAnsi"/>
        </w:rPr>
      </w:pPr>
    </w:p>
    <w:tbl>
      <w:tblPr>
        <w:tblStyle w:val="TableGrid1"/>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188"/>
      </w:tblGrid>
      <w:tr w:rsidR="0022199B" w:rsidRPr="0022199B" w:rsidTr="00635E8C">
        <w:trPr>
          <w:trHeight w:val="855"/>
        </w:trPr>
        <w:tc>
          <w:tcPr>
            <w:tcW w:w="10188" w:type="dxa"/>
            <w:shd w:val="clear" w:color="auto" w:fill="B8CCE4" w:themeFill="accent1" w:themeFillTint="66"/>
            <w:vAlign w:val="center"/>
          </w:tcPr>
          <w:p w:rsidR="0022199B" w:rsidRPr="0022199B" w:rsidRDefault="0022199B" w:rsidP="0022199B">
            <w:pPr>
              <w:jc w:val="center"/>
              <w:rPr>
                <w:rFonts w:asciiTheme="majorHAnsi" w:eastAsia="Times New Roman" w:hAnsiTheme="majorHAnsi"/>
                <w:b/>
                <w:sz w:val="21"/>
                <w:szCs w:val="21"/>
              </w:rPr>
            </w:pPr>
            <w:r w:rsidRPr="0022199B">
              <w:rPr>
                <w:rFonts w:asciiTheme="majorHAnsi" w:eastAsia="Times New Roman" w:hAnsiTheme="majorHAnsi"/>
                <w:b/>
                <w:sz w:val="21"/>
                <w:szCs w:val="21"/>
              </w:rPr>
              <w:t>CDFI Fund Appropriations</w:t>
            </w:r>
          </w:p>
          <w:p w:rsidR="0022199B" w:rsidRPr="0022199B" w:rsidRDefault="0022199B" w:rsidP="0022199B">
            <w:pPr>
              <w:jc w:val="center"/>
              <w:rPr>
                <w:rFonts w:asciiTheme="majorHAnsi" w:eastAsia="Times New Roman" w:hAnsiTheme="majorHAnsi"/>
                <w:b/>
                <w:sz w:val="21"/>
                <w:szCs w:val="21"/>
              </w:rPr>
            </w:pPr>
            <w:r w:rsidRPr="0022199B">
              <w:rPr>
                <w:rFonts w:asciiTheme="majorHAnsi" w:eastAsia="Times New Roman" w:hAnsiTheme="majorHAnsi"/>
                <w:b/>
                <w:sz w:val="21"/>
                <w:szCs w:val="21"/>
              </w:rPr>
              <w:t>FY 12 Final - FY 13 Final – FY 14 Budget Request</w:t>
            </w:r>
          </w:p>
          <w:p w:rsidR="0022199B" w:rsidRPr="0022199B" w:rsidRDefault="0022199B" w:rsidP="0022199B">
            <w:pPr>
              <w:jc w:val="center"/>
              <w:rPr>
                <w:rFonts w:asciiTheme="majorHAnsi" w:eastAsia="Times New Roman" w:hAnsiTheme="majorHAnsi"/>
                <w:sz w:val="21"/>
                <w:szCs w:val="21"/>
              </w:rPr>
            </w:pPr>
            <w:r w:rsidRPr="0022199B">
              <w:rPr>
                <w:rFonts w:asciiTheme="majorHAnsi" w:eastAsia="Times New Roman" w:hAnsiTheme="majorHAnsi"/>
                <w:b/>
                <w:sz w:val="21"/>
                <w:szCs w:val="21"/>
              </w:rPr>
              <w:t>$ In millions</w:t>
            </w:r>
          </w:p>
        </w:tc>
      </w:tr>
    </w:tbl>
    <w:p w:rsidR="0022199B" w:rsidRPr="0022199B" w:rsidRDefault="0022199B" w:rsidP="0022199B">
      <w:pPr>
        <w:rPr>
          <w:rFonts w:asciiTheme="majorHAnsi" w:eastAsia="Times New Roman" w:hAnsiTheme="majorHAnsi"/>
          <w:sz w:val="21"/>
          <w:szCs w:val="21"/>
        </w:rPr>
      </w:pPr>
    </w:p>
    <w:tbl>
      <w:tblPr>
        <w:tblW w:w="8839"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1174"/>
        <w:gridCol w:w="1080"/>
        <w:gridCol w:w="1350"/>
        <w:gridCol w:w="900"/>
        <w:gridCol w:w="1260"/>
      </w:tblGrid>
      <w:tr w:rsidR="0022199B" w:rsidRPr="0022199B" w:rsidTr="00635E8C">
        <w:trPr>
          <w:trHeight w:val="692"/>
        </w:trPr>
        <w:tc>
          <w:tcPr>
            <w:tcW w:w="3075" w:type="dxa"/>
            <w:shd w:val="clear" w:color="000000" w:fill="969696"/>
            <w:vAlign w:val="center"/>
            <w:hideMark/>
          </w:tcPr>
          <w:p w:rsidR="0022199B" w:rsidRPr="0022199B" w:rsidRDefault="0022199B" w:rsidP="0022199B">
            <w:pPr>
              <w:spacing w:before="120"/>
              <w:jc w:val="center"/>
              <w:rPr>
                <w:rFonts w:asciiTheme="majorHAnsi" w:hAnsiTheme="majorHAnsi" w:cstheme="minorBidi"/>
                <w:b/>
                <w:bCs/>
                <w:sz w:val="21"/>
                <w:szCs w:val="21"/>
              </w:rPr>
            </w:pPr>
            <w:r w:rsidRPr="0022199B">
              <w:rPr>
                <w:rFonts w:asciiTheme="majorHAnsi" w:hAnsiTheme="majorHAnsi" w:cstheme="minorBidi"/>
                <w:b/>
                <w:bCs/>
                <w:sz w:val="21"/>
                <w:szCs w:val="21"/>
              </w:rPr>
              <w:t>Treasury Programs</w:t>
            </w:r>
          </w:p>
        </w:tc>
        <w:tc>
          <w:tcPr>
            <w:tcW w:w="1174" w:type="dxa"/>
            <w:shd w:val="clear" w:color="000000" w:fill="969696"/>
            <w:hideMark/>
          </w:tcPr>
          <w:p w:rsidR="0022199B" w:rsidRPr="0022199B" w:rsidRDefault="0022199B" w:rsidP="0022199B">
            <w:pPr>
              <w:spacing w:before="120"/>
              <w:jc w:val="center"/>
              <w:rPr>
                <w:rFonts w:asciiTheme="majorHAnsi" w:hAnsiTheme="majorHAnsi" w:cstheme="minorBidi"/>
                <w:b/>
                <w:bCs/>
                <w:sz w:val="21"/>
                <w:szCs w:val="21"/>
              </w:rPr>
            </w:pPr>
            <w:r w:rsidRPr="0022199B">
              <w:rPr>
                <w:rFonts w:asciiTheme="majorHAnsi" w:hAnsiTheme="majorHAnsi" w:cstheme="minorBidi"/>
                <w:b/>
                <w:bCs/>
                <w:sz w:val="21"/>
                <w:szCs w:val="21"/>
              </w:rPr>
              <w:t>FY 12 Final *</w:t>
            </w:r>
          </w:p>
        </w:tc>
        <w:tc>
          <w:tcPr>
            <w:tcW w:w="1080" w:type="dxa"/>
            <w:shd w:val="clear" w:color="000000" w:fill="969696"/>
            <w:hideMark/>
          </w:tcPr>
          <w:p w:rsidR="0022199B" w:rsidRPr="0022199B" w:rsidRDefault="0022199B" w:rsidP="0022199B">
            <w:pPr>
              <w:spacing w:before="120"/>
              <w:jc w:val="center"/>
              <w:rPr>
                <w:rFonts w:asciiTheme="majorHAnsi" w:hAnsiTheme="majorHAnsi" w:cstheme="minorBidi"/>
                <w:b/>
                <w:bCs/>
                <w:sz w:val="21"/>
                <w:szCs w:val="21"/>
              </w:rPr>
            </w:pPr>
            <w:r w:rsidRPr="0022199B">
              <w:rPr>
                <w:rFonts w:asciiTheme="majorHAnsi" w:hAnsiTheme="majorHAnsi" w:cstheme="minorBidi"/>
                <w:b/>
                <w:bCs/>
                <w:sz w:val="21"/>
                <w:szCs w:val="21"/>
              </w:rPr>
              <w:t>FY 13 Final*</w:t>
            </w:r>
          </w:p>
        </w:tc>
        <w:tc>
          <w:tcPr>
            <w:tcW w:w="1350" w:type="dxa"/>
            <w:shd w:val="clear" w:color="000000" w:fill="969696"/>
            <w:hideMark/>
          </w:tcPr>
          <w:p w:rsidR="0022199B" w:rsidRPr="0022199B" w:rsidRDefault="0022199B" w:rsidP="0022199B">
            <w:pPr>
              <w:jc w:val="center"/>
              <w:rPr>
                <w:rFonts w:asciiTheme="majorHAnsi" w:hAnsiTheme="majorHAnsi" w:cstheme="minorBidi"/>
                <w:b/>
                <w:bCs/>
                <w:sz w:val="21"/>
                <w:szCs w:val="21"/>
              </w:rPr>
            </w:pPr>
            <w:r w:rsidRPr="0022199B">
              <w:rPr>
                <w:rFonts w:asciiTheme="majorHAnsi" w:hAnsiTheme="majorHAnsi" w:cstheme="minorBidi"/>
                <w:b/>
                <w:bCs/>
                <w:sz w:val="21"/>
                <w:szCs w:val="21"/>
              </w:rPr>
              <w:t xml:space="preserve">FY 14 </w:t>
            </w:r>
          </w:p>
          <w:p w:rsidR="0022199B" w:rsidRPr="0022199B" w:rsidRDefault="0022199B" w:rsidP="0022199B">
            <w:pPr>
              <w:jc w:val="center"/>
              <w:rPr>
                <w:rFonts w:asciiTheme="majorHAnsi" w:hAnsiTheme="majorHAnsi" w:cstheme="minorBidi"/>
                <w:b/>
                <w:bCs/>
                <w:sz w:val="21"/>
                <w:szCs w:val="21"/>
              </w:rPr>
            </w:pPr>
            <w:r w:rsidRPr="0022199B">
              <w:rPr>
                <w:rFonts w:asciiTheme="majorHAnsi" w:hAnsiTheme="majorHAnsi" w:cstheme="minorBidi"/>
                <w:b/>
                <w:bCs/>
                <w:sz w:val="21"/>
                <w:szCs w:val="21"/>
              </w:rPr>
              <w:t>Budget</w:t>
            </w:r>
          </w:p>
          <w:p w:rsidR="0022199B" w:rsidRPr="0022199B" w:rsidRDefault="0022199B" w:rsidP="0022199B">
            <w:pPr>
              <w:jc w:val="center"/>
              <w:rPr>
                <w:rFonts w:asciiTheme="majorHAnsi" w:hAnsiTheme="majorHAnsi" w:cstheme="minorBidi"/>
                <w:b/>
                <w:bCs/>
                <w:sz w:val="21"/>
                <w:szCs w:val="21"/>
              </w:rPr>
            </w:pPr>
            <w:r w:rsidRPr="0022199B">
              <w:rPr>
                <w:rFonts w:asciiTheme="majorHAnsi" w:hAnsiTheme="majorHAnsi" w:cstheme="minorBidi"/>
                <w:b/>
                <w:bCs/>
                <w:sz w:val="21"/>
                <w:szCs w:val="21"/>
              </w:rPr>
              <w:t>Request**</w:t>
            </w:r>
          </w:p>
        </w:tc>
        <w:tc>
          <w:tcPr>
            <w:tcW w:w="900" w:type="dxa"/>
            <w:shd w:val="clear" w:color="000000" w:fill="969696"/>
            <w:hideMark/>
          </w:tcPr>
          <w:p w:rsidR="0022199B" w:rsidRPr="0022199B" w:rsidRDefault="0022199B" w:rsidP="0022199B">
            <w:pPr>
              <w:spacing w:before="120"/>
              <w:jc w:val="center"/>
              <w:rPr>
                <w:rFonts w:asciiTheme="majorHAnsi" w:hAnsiTheme="majorHAnsi" w:cstheme="minorBidi"/>
                <w:b/>
                <w:bCs/>
                <w:sz w:val="21"/>
                <w:szCs w:val="21"/>
              </w:rPr>
            </w:pPr>
            <w:r w:rsidRPr="0022199B">
              <w:rPr>
                <w:rFonts w:asciiTheme="majorHAnsi" w:hAnsiTheme="majorHAnsi" w:cstheme="minorBidi"/>
                <w:b/>
                <w:bCs/>
                <w:sz w:val="21"/>
                <w:szCs w:val="21"/>
              </w:rPr>
              <w:t>FY 14 House</w:t>
            </w:r>
          </w:p>
        </w:tc>
        <w:tc>
          <w:tcPr>
            <w:tcW w:w="1260" w:type="dxa"/>
            <w:shd w:val="clear" w:color="000000" w:fill="969696"/>
          </w:tcPr>
          <w:p w:rsidR="0022199B" w:rsidRPr="0022199B" w:rsidRDefault="0022199B" w:rsidP="0022199B">
            <w:pPr>
              <w:spacing w:before="120"/>
              <w:jc w:val="center"/>
              <w:rPr>
                <w:rFonts w:asciiTheme="majorHAnsi" w:hAnsiTheme="majorHAnsi" w:cstheme="minorBidi"/>
                <w:b/>
                <w:bCs/>
                <w:sz w:val="21"/>
                <w:szCs w:val="21"/>
              </w:rPr>
            </w:pPr>
            <w:r w:rsidRPr="0022199B">
              <w:rPr>
                <w:rFonts w:asciiTheme="majorHAnsi" w:hAnsiTheme="majorHAnsi" w:cstheme="minorBidi"/>
                <w:b/>
                <w:bCs/>
                <w:sz w:val="21"/>
                <w:szCs w:val="21"/>
              </w:rPr>
              <w:t>FY 14 Senate</w:t>
            </w:r>
          </w:p>
        </w:tc>
      </w:tr>
      <w:tr w:rsidR="0022199B" w:rsidRPr="0022199B" w:rsidTr="00635E8C">
        <w:trPr>
          <w:trHeight w:val="557"/>
        </w:trPr>
        <w:tc>
          <w:tcPr>
            <w:tcW w:w="3075" w:type="dxa"/>
            <w:shd w:val="clear" w:color="000000" w:fill="FFFFFF"/>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CDFI Fund  (top-line amount)</w:t>
            </w:r>
          </w:p>
        </w:tc>
        <w:tc>
          <w:tcPr>
            <w:tcW w:w="1174"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221</w:t>
            </w:r>
          </w:p>
          <w:p w:rsidR="0022199B" w:rsidRPr="0022199B" w:rsidRDefault="0022199B" w:rsidP="0022199B">
            <w:pPr>
              <w:spacing w:before="120"/>
              <w:rPr>
                <w:rFonts w:asciiTheme="majorHAnsi" w:hAnsiTheme="majorHAnsi" w:cstheme="minorBidi"/>
                <w:sz w:val="21"/>
                <w:szCs w:val="21"/>
              </w:rPr>
            </w:pPr>
          </w:p>
        </w:tc>
        <w:tc>
          <w:tcPr>
            <w:tcW w:w="108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221</w:t>
            </w:r>
          </w:p>
          <w:p w:rsidR="0022199B" w:rsidRPr="0022199B" w:rsidRDefault="0022199B" w:rsidP="0022199B">
            <w:pPr>
              <w:spacing w:before="120"/>
              <w:rPr>
                <w:rFonts w:asciiTheme="majorHAnsi" w:hAnsiTheme="majorHAnsi" w:cstheme="minorBidi"/>
                <w:sz w:val="21"/>
                <w:szCs w:val="21"/>
              </w:rPr>
            </w:pPr>
          </w:p>
        </w:tc>
        <w:tc>
          <w:tcPr>
            <w:tcW w:w="135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224.9</w:t>
            </w:r>
          </w:p>
          <w:p w:rsidR="0022199B" w:rsidRPr="0022199B" w:rsidRDefault="0022199B" w:rsidP="0022199B">
            <w:pPr>
              <w:spacing w:before="120"/>
              <w:jc w:val="center"/>
              <w:rPr>
                <w:rFonts w:asciiTheme="majorHAnsi" w:hAnsiTheme="majorHAnsi" w:cstheme="minorBidi"/>
                <w:sz w:val="21"/>
                <w:szCs w:val="21"/>
              </w:rPr>
            </w:pPr>
          </w:p>
        </w:tc>
        <w:tc>
          <w:tcPr>
            <w:tcW w:w="900" w:type="dxa"/>
            <w:shd w:val="clear" w:color="auto" w:fill="auto"/>
            <w:vAlign w:val="bottom"/>
            <w:hideMark/>
          </w:tcPr>
          <w:p w:rsidR="0022199B" w:rsidRPr="0022199B" w:rsidRDefault="0022199B" w:rsidP="0022199B">
            <w:pPr>
              <w:spacing w:before="120"/>
              <w:rPr>
                <w:rFonts w:asciiTheme="majorHAnsi" w:hAnsiTheme="majorHAnsi" w:cstheme="minorBidi"/>
                <w:sz w:val="21"/>
                <w:szCs w:val="21"/>
              </w:rPr>
            </w:pPr>
          </w:p>
        </w:tc>
        <w:tc>
          <w:tcPr>
            <w:tcW w:w="1260" w:type="dxa"/>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 xml:space="preserve"> </w:t>
            </w:r>
          </w:p>
        </w:tc>
      </w:tr>
      <w:tr w:rsidR="0022199B" w:rsidRPr="0022199B" w:rsidTr="00635E8C">
        <w:trPr>
          <w:trHeight w:val="330"/>
        </w:trPr>
        <w:tc>
          <w:tcPr>
            <w:tcW w:w="3075" w:type="dxa"/>
            <w:shd w:val="clear" w:color="000000" w:fill="FFFFFF"/>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CDFI FA/TA</w:t>
            </w:r>
          </w:p>
        </w:tc>
        <w:tc>
          <w:tcPr>
            <w:tcW w:w="1174"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146</w:t>
            </w:r>
          </w:p>
        </w:tc>
        <w:tc>
          <w:tcPr>
            <w:tcW w:w="108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146</w:t>
            </w:r>
          </w:p>
        </w:tc>
        <w:tc>
          <w:tcPr>
            <w:tcW w:w="135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134.3</w:t>
            </w:r>
          </w:p>
        </w:tc>
        <w:tc>
          <w:tcPr>
            <w:tcW w:w="90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p>
        </w:tc>
        <w:tc>
          <w:tcPr>
            <w:tcW w:w="1260" w:type="dxa"/>
          </w:tcPr>
          <w:p w:rsidR="0022199B" w:rsidRPr="0022199B" w:rsidRDefault="0022199B" w:rsidP="0022199B">
            <w:pPr>
              <w:spacing w:before="120"/>
              <w:jc w:val="center"/>
              <w:rPr>
                <w:rFonts w:asciiTheme="majorHAnsi" w:hAnsiTheme="majorHAnsi" w:cstheme="minorBidi"/>
                <w:sz w:val="21"/>
                <w:szCs w:val="21"/>
              </w:rPr>
            </w:pPr>
          </w:p>
        </w:tc>
      </w:tr>
      <w:tr w:rsidR="0022199B" w:rsidRPr="0022199B" w:rsidTr="00635E8C">
        <w:trPr>
          <w:trHeight w:val="300"/>
        </w:trPr>
        <w:tc>
          <w:tcPr>
            <w:tcW w:w="3075" w:type="dxa"/>
            <w:shd w:val="clear" w:color="000000" w:fill="FFFFFF"/>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Native Initiative</w:t>
            </w:r>
          </w:p>
        </w:tc>
        <w:tc>
          <w:tcPr>
            <w:tcW w:w="1174"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12</w:t>
            </w:r>
          </w:p>
        </w:tc>
        <w:tc>
          <w:tcPr>
            <w:tcW w:w="108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12</w:t>
            </w:r>
          </w:p>
        </w:tc>
        <w:tc>
          <w:tcPr>
            <w:tcW w:w="135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12.0</w:t>
            </w:r>
          </w:p>
        </w:tc>
        <w:tc>
          <w:tcPr>
            <w:tcW w:w="90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p>
        </w:tc>
        <w:tc>
          <w:tcPr>
            <w:tcW w:w="1260" w:type="dxa"/>
          </w:tcPr>
          <w:p w:rsidR="0022199B" w:rsidRPr="0022199B" w:rsidRDefault="0022199B" w:rsidP="0022199B">
            <w:pPr>
              <w:spacing w:before="120"/>
              <w:jc w:val="center"/>
              <w:rPr>
                <w:rFonts w:asciiTheme="majorHAnsi" w:hAnsiTheme="majorHAnsi" w:cstheme="minorBidi"/>
                <w:sz w:val="21"/>
                <w:szCs w:val="21"/>
              </w:rPr>
            </w:pPr>
          </w:p>
        </w:tc>
      </w:tr>
      <w:tr w:rsidR="0022199B" w:rsidRPr="0022199B" w:rsidTr="00635E8C">
        <w:trPr>
          <w:trHeight w:val="300"/>
        </w:trPr>
        <w:tc>
          <w:tcPr>
            <w:tcW w:w="3075" w:type="dxa"/>
            <w:shd w:val="clear" w:color="000000" w:fill="FFFFFF"/>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Bank on USA</w:t>
            </w:r>
          </w:p>
        </w:tc>
        <w:tc>
          <w:tcPr>
            <w:tcW w:w="1174"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0</w:t>
            </w:r>
          </w:p>
        </w:tc>
        <w:tc>
          <w:tcPr>
            <w:tcW w:w="108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0</w:t>
            </w:r>
          </w:p>
        </w:tc>
        <w:tc>
          <w:tcPr>
            <w:tcW w:w="1350" w:type="dxa"/>
            <w:shd w:val="clear" w:color="auto" w:fill="auto"/>
            <w:noWrap/>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0</w:t>
            </w:r>
          </w:p>
        </w:tc>
        <w:tc>
          <w:tcPr>
            <w:tcW w:w="90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p>
        </w:tc>
        <w:tc>
          <w:tcPr>
            <w:tcW w:w="1260" w:type="dxa"/>
          </w:tcPr>
          <w:p w:rsidR="0022199B" w:rsidRPr="0022199B" w:rsidRDefault="0022199B" w:rsidP="0022199B">
            <w:pPr>
              <w:spacing w:before="120"/>
              <w:jc w:val="center"/>
              <w:rPr>
                <w:rFonts w:asciiTheme="majorHAnsi" w:hAnsiTheme="majorHAnsi" w:cstheme="minorBidi"/>
                <w:sz w:val="21"/>
                <w:szCs w:val="21"/>
              </w:rPr>
            </w:pPr>
          </w:p>
        </w:tc>
      </w:tr>
      <w:tr w:rsidR="0022199B" w:rsidRPr="0022199B" w:rsidTr="00635E8C">
        <w:trPr>
          <w:trHeight w:val="305"/>
        </w:trPr>
        <w:tc>
          <w:tcPr>
            <w:tcW w:w="3075" w:type="dxa"/>
            <w:shd w:val="clear" w:color="000000" w:fill="FFFFFF"/>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Healthy Food   Financing</w:t>
            </w:r>
          </w:p>
        </w:tc>
        <w:tc>
          <w:tcPr>
            <w:tcW w:w="1174"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22</w:t>
            </w:r>
          </w:p>
        </w:tc>
        <w:tc>
          <w:tcPr>
            <w:tcW w:w="108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22</w:t>
            </w:r>
          </w:p>
        </w:tc>
        <w:tc>
          <w:tcPr>
            <w:tcW w:w="1350" w:type="dxa"/>
            <w:shd w:val="clear" w:color="auto" w:fill="auto"/>
            <w:noWrap/>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35.0</w:t>
            </w:r>
          </w:p>
        </w:tc>
        <w:tc>
          <w:tcPr>
            <w:tcW w:w="90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p>
        </w:tc>
        <w:tc>
          <w:tcPr>
            <w:tcW w:w="1260" w:type="dxa"/>
          </w:tcPr>
          <w:p w:rsidR="0022199B" w:rsidRPr="0022199B" w:rsidRDefault="0022199B" w:rsidP="0022199B">
            <w:pPr>
              <w:spacing w:before="120"/>
              <w:jc w:val="center"/>
              <w:rPr>
                <w:rFonts w:asciiTheme="majorHAnsi" w:hAnsiTheme="majorHAnsi" w:cstheme="minorBidi"/>
                <w:sz w:val="21"/>
                <w:szCs w:val="21"/>
              </w:rPr>
            </w:pPr>
          </w:p>
        </w:tc>
      </w:tr>
      <w:tr w:rsidR="0022199B" w:rsidRPr="0022199B" w:rsidTr="00635E8C">
        <w:trPr>
          <w:trHeight w:val="300"/>
        </w:trPr>
        <w:tc>
          <w:tcPr>
            <w:tcW w:w="3075" w:type="dxa"/>
            <w:shd w:val="clear" w:color="000000" w:fill="FFFFFF"/>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Bank Enterprise Award</w:t>
            </w:r>
          </w:p>
        </w:tc>
        <w:tc>
          <w:tcPr>
            <w:tcW w:w="1174"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18</w:t>
            </w:r>
          </w:p>
        </w:tc>
        <w:tc>
          <w:tcPr>
            <w:tcW w:w="108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18</w:t>
            </w:r>
          </w:p>
        </w:tc>
        <w:tc>
          <w:tcPr>
            <w:tcW w:w="1350" w:type="dxa"/>
            <w:shd w:val="clear" w:color="auto" w:fill="auto"/>
            <w:noWrap/>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10.0</w:t>
            </w:r>
          </w:p>
        </w:tc>
        <w:tc>
          <w:tcPr>
            <w:tcW w:w="90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p>
        </w:tc>
        <w:tc>
          <w:tcPr>
            <w:tcW w:w="1260" w:type="dxa"/>
          </w:tcPr>
          <w:p w:rsidR="0022199B" w:rsidRPr="0022199B" w:rsidRDefault="0022199B" w:rsidP="0022199B">
            <w:pPr>
              <w:spacing w:before="120"/>
              <w:jc w:val="center"/>
              <w:rPr>
                <w:rFonts w:asciiTheme="majorHAnsi" w:hAnsiTheme="majorHAnsi" w:cstheme="minorBidi"/>
                <w:sz w:val="21"/>
                <w:szCs w:val="21"/>
              </w:rPr>
            </w:pPr>
          </w:p>
        </w:tc>
      </w:tr>
      <w:tr w:rsidR="0022199B" w:rsidRPr="0022199B" w:rsidTr="00635E8C">
        <w:trPr>
          <w:trHeight w:val="300"/>
        </w:trPr>
        <w:tc>
          <w:tcPr>
            <w:tcW w:w="3075" w:type="dxa"/>
            <w:shd w:val="clear" w:color="000000" w:fill="FFFFFF"/>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Admin and Research</w:t>
            </w:r>
          </w:p>
        </w:tc>
        <w:tc>
          <w:tcPr>
            <w:tcW w:w="1174"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23</w:t>
            </w:r>
          </w:p>
        </w:tc>
        <w:tc>
          <w:tcPr>
            <w:tcW w:w="108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23</w:t>
            </w:r>
          </w:p>
        </w:tc>
        <w:tc>
          <w:tcPr>
            <w:tcW w:w="135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23.6</w:t>
            </w:r>
          </w:p>
        </w:tc>
        <w:tc>
          <w:tcPr>
            <w:tcW w:w="90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p>
        </w:tc>
        <w:tc>
          <w:tcPr>
            <w:tcW w:w="1260" w:type="dxa"/>
          </w:tcPr>
          <w:p w:rsidR="0022199B" w:rsidRPr="0022199B" w:rsidRDefault="0022199B" w:rsidP="0022199B">
            <w:pPr>
              <w:spacing w:before="120"/>
              <w:jc w:val="center"/>
              <w:rPr>
                <w:rFonts w:asciiTheme="majorHAnsi" w:hAnsiTheme="majorHAnsi" w:cstheme="minorBidi"/>
                <w:sz w:val="21"/>
                <w:szCs w:val="21"/>
              </w:rPr>
            </w:pPr>
          </w:p>
        </w:tc>
      </w:tr>
      <w:tr w:rsidR="0022199B" w:rsidRPr="0022199B" w:rsidTr="00635E8C">
        <w:trPr>
          <w:trHeight w:val="70"/>
        </w:trPr>
        <w:tc>
          <w:tcPr>
            <w:tcW w:w="3075" w:type="dxa"/>
            <w:shd w:val="clear" w:color="000000" w:fill="FFFFFF"/>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Persistent Poverty Set Aside</w:t>
            </w:r>
          </w:p>
        </w:tc>
        <w:tc>
          <w:tcPr>
            <w:tcW w:w="1174"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10%</w:t>
            </w:r>
          </w:p>
        </w:tc>
        <w:tc>
          <w:tcPr>
            <w:tcW w:w="108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10%</w:t>
            </w:r>
          </w:p>
        </w:tc>
        <w:tc>
          <w:tcPr>
            <w:tcW w:w="135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n/a</w:t>
            </w:r>
          </w:p>
        </w:tc>
        <w:tc>
          <w:tcPr>
            <w:tcW w:w="900" w:type="dxa"/>
            <w:shd w:val="clear" w:color="auto" w:fill="auto"/>
            <w:vAlign w:val="bottom"/>
            <w:hideMark/>
          </w:tcPr>
          <w:p w:rsidR="0022199B" w:rsidRPr="0022199B" w:rsidRDefault="0022199B" w:rsidP="0022199B">
            <w:pPr>
              <w:spacing w:before="120"/>
              <w:jc w:val="center"/>
              <w:rPr>
                <w:rFonts w:asciiTheme="majorHAnsi" w:hAnsiTheme="majorHAnsi" w:cstheme="minorBidi"/>
                <w:sz w:val="21"/>
                <w:szCs w:val="21"/>
              </w:rPr>
            </w:pPr>
            <w:r w:rsidRPr="0022199B">
              <w:rPr>
                <w:rFonts w:asciiTheme="majorHAnsi" w:hAnsiTheme="majorHAnsi" w:cstheme="minorBidi"/>
                <w:sz w:val="21"/>
                <w:szCs w:val="21"/>
              </w:rPr>
              <w:t>-</w:t>
            </w:r>
          </w:p>
        </w:tc>
        <w:tc>
          <w:tcPr>
            <w:tcW w:w="1260" w:type="dxa"/>
          </w:tcPr>
          <w:p w:rsidR="0022199B" w:rsidRPr="0022199B" w:rsidRDefault="0022199B" w:rsidP="0022199B">
            <w:pPr>
              <w:spacing w:before="120"/>
              <w:jc w:val="center"/>
              <w:rPr>
                <w:rFonts w:asciiTheme="majorHAnsi" w:hAnsiTheme="majorHAnsi" w:cstheme="minorBidi"/>
                <w:sz w:val="21"/>
                <w:szCs w:val="21"/>
              </w:rPr>
            </w:pPr>
          </w:p>
        </w:tc>
      </w:tr>
    </w:tbl>
    <w:p w:rsidR="0022199B" w:rsidRPr="0022199B" w:rsidRDefault="0022199B" w:rsidP="0022199B">
      <w:pPr>
        <w:rPr>
          <w:rFonts w:asciiTheme="majorHAnsi" w:eastAsia="Times New Roman" w:hAnsiTheme="majorHAnsi"/>
          <w:sz w:val="21"/>
          <w:szCs w:val="21"/>
        </w:rPr>
      </w:pPr>
    </w:p>
    <w:p w:rsidR="0022199B" w:rsidRPr="0022199B" w:rsidRDefault="0022199B" w:rsidP="0022199B">
      <w:pPr>
        <w:rPr>
          <w:rFonts w:asciiTheme="majorHAnsi" w:hAnsiTheme="majorHAnsi" w:cstheme="minorBidi"/>
          <w:sz w:val="18"/>
          <w:szCs w:val="18"/>
        </w:rPr>
      </w:pPr>
      <w:r w:rsidRPr="0022199B">
        <w:rPr>
          <w:rFonts w:asciiTheme="majorHAnsi" w:hAnsiTheme="majorHAnsi" w:cstheme="minorBidi"/>
          <w:sz w:val="18"/>
          <w:szCs w:val="18"/>
        </w:rPr>
        <w:t xml:space="preserve">* </w:t>
      </w:r>
      <w:r w:rsidRPr="0022199B">
        <w:rPr>
          <w:rFonts w:asciiTheme="majorHAnsi" w:hAnsiTheme="majorHAnsi" w:cstheme="minorBidi"/>
          <w:sz w:val="18"/>
          <w:szCs w:val="18"/>
        </w:rPr>
        <w:tab/>
        <w:t>match requirement waived for SECA and NACA applicants and 3-year, $5 million cap waived for HFFI</w:t>
      </w:r>
    </w:p>
    <w:p w:rsidR="0022199B" w:rsidRPr="0022199B" w:rsidRDefault="0022199B" w:rsidP="0022199B">
      <w:pPr>
        <w:rPr>
          <w:rFonts w:asciiTheme="majorHAnsi" w:hAnsiTheme="majorHAnsi" w:cstheme="minorBidi"/>
          <w:sz w:val="18"/>
          <w:szCs w:val="18"/>
        </w:rPr>
      </w:pPr>
      <w:r w:rsidRPr="0022199B">
        <w:rPr>
          <w:rFonts w:asciiTheme="majorHAnsi" w:eastAsia="Times New Roman" w:hAnsiTheme="majorHAnsi"/>
          <w:sz w:val="21"/>
          <w:szCs w:val="21"/>
        </w:rPr>
        <w:t>**</w:t>
      </w:r>
      <w:r w:rsidRPr="0022199B">
        <w:rPr>
          <w:rFonts w:asciiTheme="majorHAnsi" w:eastAsia="Times New Roman" w:hAnsiTheme="majorHAnsi"/>
          <w:sz w:val="21"/>
          <w:szCs w:val="21"/>
        </w:rPr>
        <w:tab/>
      </w:r>
      <w:r w:rsidRPr="0022199B">
        <w:rPr>
          <w:rFonts w:asciiTheme="majorHAnsi" w:hAnsiTheme="majorHAnsi" w:cstheme="minorBidi"/>
          <w:sz w:val="18"/>
          <w:szCs w:val="18"/>
        </w:rPr>
        <w:t>3-year, $5 million cap waived for HFFI</w:t>
      </w:r>
    </w:p>
    <w:p w:rsidR="0022199B" w:rsidRPr="0022199B" w:rsidRDefault="0022199B" w:rsidP="0022199B">
      <w:pPr>
        <w:rPr>
          <w:rFonts w:asciiTheme="majorHAnsi" w:eastAsia="Times New Roman" w:hAnsiTheme="majorHAnsi"/>
          <w:sz w:val="21"/>
          <w:szCs w:val="21"/>
        </w:rPr>
      </w:pPr>
    </w:p>
    <w:p w:rsidR="00293DB8" w:rsidRDefault="00293DB8">
      <w:pPr>
        <w:rPr>
          <w:rFonts w:asciiTheme="minorHAnsi" w:hAnsiTheme="minorHAnsi"/>
        </w:rPr>
      </w:pPr>
    </w:p>
    <w:p w:rsidR="0022199B" w:rsidRPr="00E836CB" w:rsidRDefault="0022199B">
      <w:pPr>
        <w:rPr>
          <w:rFonts w:asciiTheme="minorHAnsi" w:hAnsiTheme="minorHAnsi"/>
        </w:rPr>
      </w:pPr>
    </w:p>
    <w:sectPr w:rsidR="0022199B" w:rsidRPr="00E836CB" w:rsidSect="00213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95C68"/>
    <w:multiLevelType w:val="hybridMultilevel"/>
    <w:tmpl w:val="96D86F6E"/>
    <w:lvl w:ilvl="0" w:tplc="27A41D5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CB"/>
    <w:rsid w:val="000A587C"/>
    <w:rsid w:val="002132A0"/>
    <w:rsid w:val="00220EF4"/>
    <w:rsid w:val="0022199B"/>
    <w:rsid w:val="00293DB8"/>
    <w:rsid w:val="003A69FD"/>
    <w:rsid w:val="00545141"/>
    <w:rsid w:val="006D12FC"/>
    <w:rsid w:val="006D3EA9"/>
    <w:rsid w:val="0082256F"/>
    <w:rsid w:val="00924906"/>
    <w:rsid w:val="00CA1F2A"/>
    <w:rsid w:val="00CE3074"/>
    <w:rsid w:val="00DF034C"/>
    <w:rsid w:val="00E8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CB"/>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E836C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836CB"/>
    <w:rPr>
      <w:rFonts w:ascii="Times New Roman" w:hAnsi="Times New Roman" w:cs="Times New Roman"/>
      <w:b/>
      <w:bCs/>
      <w:sz w:val="27"/>
      <w:szCs w:val="27"/>
    </w:rPr>
  </w:style>
  <w:style w:type="character" w:styleId="Hyperlink">
    <w:name w:val="Hyperlink"/>
    <w:basedOn w:val="DefaultParagraphFont"/>
    <w:uiPriority w:val="99"/>
    <w:semiHidden/>
    <w:unhideWhenUsed/>
    <w:rsid w:val="00E836CB"/>
    <w:rPr>
      <w:color w:val="0000FF"/>
      <w:u w:val="single"/>
    </w:rPr>
  </w:style>
  <w:style w:type="paragraph" w:styleId="NormalWeb">
    <w:name w:val="Normal (Web)"/>
    <w:basedOn w:val="Normal"/>
    <w:uiPriority w:val="99"/>
    <w:semiHidden/>
    <w:unhideWhenUsed/>
    <w:rsid w:val="00E836C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836CB"/>
    <w:pPr>
      <w:ind w:left="720"/>
    </w:pPr>
  </w:style>
  <w:style w:type="paragraph" w:styleId="BalloonText">
    <w:name w:val="Balloon Text"/>
    <w:basedOn w:val="Normal"/>
    <w:link w:val="BalloonTextChar"/>
    <w:uiPriority w:val="99"/>
    <w:semiHidden/>
    <w:unhideWhenUsed/>
    <w:rsid w:val="00E836CB"/>
    <w:rPr>
      <w:rFonts w:ascii="Tahoma" w:hAnsi="Tahoma" w:cs="Tahoma"/>
      <w:sz w:val="16"/>
      <w:szCs w:val="16"/>
    </w:rPr>
  </w:style>
  <w:style w:type="character" w:customStyle="1" w:styleId="BalloonTextChar">
    <w:name w:val="Balloon Text Char"/>
    <w:basedOn w:val="DefaultParagraphFont"/>
    <w:link w:val="BalloonText"/>
    <w:uiPriority w:val="99"/>
    <w:semiHidden/>
    <w:rsid w:val="00E836CB"/>
    <w:rPr>
      <w:rFonts w:ascii="Tahoma" w:hAnsi="Tahoma" w:cs="Tahoma"/>
      <w:sz w:val="16"/>
      <w:szCs w:val="16"/>
    </w:rPr>
  </w:style>
  <w:style w:type="table" w:customStyle="1" w:styleId="TableGrid1">
    <w:name w:val="Table Grid1"/>
    <w:basedOn w:val="TableNormal"/>
    <w:next w:val="TableGrid"/>
    <w:uiPriority w:val="59"/>
    <w:rsid w:val="0022199B"/>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21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CB"/>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E836C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836CB"/>
    <w:rPr>
      <w:rFonts w:ascii="Times New Roman" w:hAnsi="Times New Roman" w:cs="Times New Roman"/>
      <w:b/>
      <w:bCs/>
      <w:sz w:val="27"/>
      <w:szCs w:val="27"/>
    </w:rPr>
  </w:style>
  <w:style w:type="character" w:styleId="Hyperlink">
    <w:name w:val="Hyperlink"/>
    <w:basedOn w:val="DefaultParagraphFont"/>
    <w:uiPriority w:val="99"/>
    <w:semiHidden/>
    <w:unhideWhenUsed/>
    <w:rsid w:val="00E836CB"/>
    <w:rPr>
      <w:color w:val="0000FF"/>
      <w:u w:val="single"/>
    </w:rPr>
  </w:style>
  <w:style w:type="paragraph" w:styleId="NormalWeb">
    <w:name w:val="Normal (Web)"/>
    <w:basedOn w:val="Normal"/>
    <w:uiPriority w:val="99"/>
    <w:semiHidden/>
    <w:unhideWhenUsed/>
    <w:rsid w:val="00E836C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836CB"/>
    <w:pPr>
      <w:ind w:left="720"/>
    </w:pPr>
  </w:style>
  <w:style w:type="paragraph" w:styleId="BalloonText">
    <w:name w:val="Balloon Text"/>
    <w:basedOn w:val="Normal"/>
    <w:link w:val="BalloonTextChar"/>
    <w:uiPriority w:val="99"/>
    <w:semiHidden/>
    <w:unhideWhenUsed/>
    <w:rsid w:val="00E836CB"/>
    <w:rPr>
      <w:rFonts w:ascii="Tahoma" w:hAnsi="Tahoma" w:cs="Tahoma"/>
      <w:sz w:val="16"/>
      <w:szCs w:val="16"/>
    </w:rPr>
  </w:style>
  <w:style w:type="character" w:customStyle="1" w:styleId="BalloonTextChar">
    <w:name w:val="Balloon Text Char"/>
    <w:basedOn w:val="DefaultParagraphFont"/>
    <w:link w:val="BalloonText"/>
    <w:uiPriority w:val="99"/>
    <w:semiHidden/>
    <w:rsid w:val="00E836CB"/>
    <w:rPr>
      <w:rFonts w:ascii="Tahoma" w:hAnsi="Tahoma" w:cs="Tahoma"/>
      <w:sz w:val="16"/>
      <w:szCs w:val="16"/>
    </w:rPr>
  </w:style>
  <w:style w:type="table" w:customStyle="1" w:styleId="TableGrid1">
    <w:name w:val="Table Grid1"/>
    <w:basedOn w:val="TableNormal"/>
    <w:next w:val="TableGrid"/>
    <w:uiPriority w:val="59"/>
    <w:rsid w:val="0022199B"/>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21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Anderson</dc:creator>
  <cp:lastModifiedBy>Alison Feighan</cp:lastModifiedBy>
  <cp:revision>2</cp:revision>
  <cp:lastPrinted>2013-04-12T20:23:00Z</cp:lastPrinted>
  <dcterms:created xsi:type="dcterms:W3CDTF">2013-04-12T21:15:00Z</dcterms:created>
  <dcterms:modified xsi:type="dcterms:W3CDTF">2013-04-12T21:15:00Z</dcterms:modified>
</cp:coreProperties>
</file>