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75" w:rsidRPr="00B06975" w:rsidRDefault="00B06975" w:rsidP="00B06975">
      <w:pPr>
        <w:jc w:val="center"/>
        <w:rPr>
          <w:b/>
        </w:rPr>
      </w:pPr>
    </w:p>
    <w:tbl>
      <w:tblPr>
        <w:tblStyle w:val="TableGrid"/>
        <w:tblW w:w="0" w:type="auto"/>
        <w:tblInd w:w="108" w:type="dxa"/>
        <w:tblLook w:val="04A0" w:firstRow="1" w:lastRow="0" w:firstColumn="1" w:lastColumn="0" w:noHBand="0" w:noVBand="1"/>
      </w:tblPr>
      <w:tblGrid>
        <w:gridCol w:w="8370"/>
        <w:gridCol w:w="2538"/>
      </w:tblGrid>
      <w:tr w:rsidR="00B06975" w:rsidTr="00B06975">
        <w:tc>
          <w:tcPr>
            <w:tcW w:w="8370" w:type="dxa"/>
          </w:tcPr>
          <w:p w:rsidR="00B06975" w:rsidRPr="00F015F5" w:rsidRDefault="00B06975" w:rsidP="00B06975">
            <w:pPr>
              <w:jc w:val="center"/>
              <w:rPr>
                <w:b/>
                <w:sz w:val="28"/>
                <w:szCs w:val="28"/>
                <w:u w:val="single"/>
              </w:rPr>
            </w:pPr>
            <w:r w:rsidRPr="00F015F5">
              <w:rPr>
                <w:b/>
                <w:sz w:val="28"/>
                <w:szCs w:val="28"/>
                <w:u w:val="single"/>
              </w:rPr>
              <w:t>FY 201</w:t>
            </w:r>
            <w:r>
              <w:rPr>
                <w:b/>
                <w:sz w:val="28"/>
                <w:szCs w:val="28"/>
                <w:u w:val="single"/>
              </w:rPr>
              <w:t>6</w:t>
            </w:r>
            <w:r w:rsidRPr="00F015F5">
              <w:rPr>
                <w:b/>
                <w:sz w:val="28"/>
                <w:szCs w:val="28"/>
                <w:u w:val="single"/>
              </w:rPr>
              <w:t xml:space="preserve"> Programmatic Appropriations Request</w:t>
            </w:r>
          </w:p>
          <w:p w:rsidR="00B06975" w:rsidRDefault="00B06975" w:rsidP="00B06975">
            <w:pPr>
              <w:ind w:right="-540"/>
              <w:jc w:val="center"/>
              <w:rPr>
                <w:b/>
              </w:rPr>
            </w:pPr>
          </w:p>
          <w:p w:rsidR="00B06975" w:rsidRDefault="00B06975" w:rsidP="00B06975">
            <w:pPr>
              <w:ind w:right="-540"/>
              <w:jc w:val="center"/>
              <w:rPr>
                <w:b/>
              </w:rPr>
            </w:pPr>
            <w:r>
              <w:rPr>
                <w:b/>
              </w:rPr>
              <w:t xml:space="preserve">$233.5 Million </w:t>
            </w:r>
          </w:p>
          <w:p w:rsidR="00B06975" w:rsidRDefault="00B06975" w:rsidP="00B06975">
            <w:pPr>
              <w:ind w:right="-540"/>
              <w:jc w:val="center"/>
              <w:rPr>
                <w:color w:val="000000"/>
                <w:sz w:val="22"/>
                <w:szCs w:val="22"/>
              </w:rPr>
            </w:pPr>
            <w:r>
              <w:rPr>
                <w:b/>
              </w:rPr>
              <w:t>Community Development Financial Institutions (CDFI) Fund</w:t>
            </w:r>
          </w:p>
        </w:tc>
        <w:tc>
          <w:tcPr>
            <w:tcW w:w="2538" w:type="dxa"/>
          </w:tcPr>
          <w:p w:rsidR="00B06975" w:rsidRPr="00F015F5" w:rsidRDefault="00B06975" w:rsidP="00B06975">
            <w:pPr>
              <w:jc w:val="right"/>
              <w:rPr>
                <w:b/>
                <w:sz w:val="28"/>
                <w:szCs w:val="28"/>
                <w:u w:val="single"/>
              </w:rPr>
            </w:pPr>
            <w:r>
              <w:rPr>
                <w:noProof/>
              </w:rPr>
              <w:drawing>
                <wp:inline distT="0" distB="0" distL="0" distR="0" wp14:anchorId="58A45ADE" wp14:editId="343EED43">
                  <wp:extent cx="1446102" cy="92392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446102" cy="923925"/>
                          </a:xfrm>
                          <a:prstGeom prst="rect">
                            <a:avLst/>
                          </a:prstGeom>
                        </pic:spPr>
                      </pic:pic>
                    </a:graphicData>
                  </a:graphic>
                </wp:inline>
              </w:drawing>
            </w:r>
          </w:p>
        </w:tc>
      </w:tr>
    </w:tbl>
    <w:p w:rsidR="00B06975" w:rsidRPr="006457F8" w:rsidRDefault="00B06975" w:rsidP="00252C7B">
      <w:pPr>
        <w:rPr>
          <w:b/>
          <w:sz w:val="22"/>
          <w:szCs w:val="22"/>
        </w:rPr>
      </w:pPr>
    </w:p>
    <w:tbl>
      <w:tblPr>
        <w:tblStyle w:val="TableGrid"/>
        <w:tblW w:w="10445" w:type="dxa"/>
        <w:jc w:val="center"/>
        <w:tblLook w:val="04A0" w:firstRow="1" w:lastRow="0" w:firstColumn="1" w:lastColumn="0" w:noHBand="0" w:noVBand="1"/>
      </w:tblPr>
      <w:tblGrid>
        <w:gridCol w:w="4055"/>
        <w:gridCol w:w="2520"/>
        <w:gridCol w:w="3870"/>
      </w:tblGrid>
      <w:tr w:rsidR="0031327A" w:rsidRPr="006457F8" w:rsidTr="00252C7B">
        <w:trPr>
          <w:jc w:val="center"/>
        </w:trPr>
        <w:tc>
          <w:tcPr>
            <w:tcW w:w="4055" w:type="dxa"/>
            <w:shd w:val="clear" w:color="auto" w:fill="C6D9F1" w:themeFill="text2" w:themeFillTint="33"/>
          </w:tcPr>
          <w:p w:rsidR="0031327A" w:rsidRPr="006457F8" w:rsidRDefault="0031327A" w:rsidP="00273227">
            <w:pPr>
              <w:jc w:val="center"/>
              <w:rPr>
                <w:b/>
                <w:sz w:val="22"/>
              </w:rPr>
            </w:pPr>
            <w:r w:rsidRPr="006457F8">
              <w:rPr>
                <w:b/>
                <w:sz w:val="22"/>
              </w:rPr>
              <w:t>Appropriations Subcommittee</w:t>
            </w:r>
          </w:p>
        </w:tc>
        <w:tc>
          <w:tcPr>
            <w:tcW w:w="2520" w:type="dxa"/>
            <w:shd w:val="clear" w:color="auto" w:fill="C6D9F1" w:themeFill="text2" w:themeFillTint="33"/>
          </w:tcPr>
          <w:p w:rsidR="0031327A" w:rsidRPr="006457F8" w:rsidRDefault="0031327A" w:rsidP="00273227">
            <w:pPr>
              <w:jc w:val="center"/>
              <w:rPr>
                <w:b/>
                <w:sz w:val="22"/>
              </w:rPr>
            </w:pPr>
            <w:r w:rsidRPr="006457F8">
              <w:rPr>
                <w:b/>
                <w:sz w:val="22"/>
              </w:rPr>
              <w:t>Agency</w:t>
            </w:r>
          </w:p>
        </w:tc>
        <w:tc>
          <w:tcPr>
            <w:tcW w:w="3870" w:type="dxa"/>
            <w:shd w:val="clear" w:color="auto" w:fill="C6D9F1" w:themeFill="text2" w:themeFillTint="33"/>
          </w:tcPr>
          <w:p w:rsidR="0031327A" w:rsidRPr="006457F8" w:rsidRDefault="0031327A" w:rsidP="00273227">
            <w:pPr>
              <w:jc w:val="center"/>
              <w:rPr>
                <w:b/>
                <w:sz w:val="22"/>
              </w:rPr>
            </w:pPr>
            <w:r w:rsidRPr="006457F8">
              <w:rPr>
                <w:b/>
                <w:sz w:val="22"/>
              </w:rPr>
              <w:t>Accounts</w:t>
            </w:r>
          </w:p>
        </w:tc>
      </w:tr>
      <w:tr w:rsidR="0031327A" w:rsidRPr="006457F8" w:rsidTr="00252C7B">
        <w:trPr>
          <w:jc w:val="center"/>
        </w:trPr>
        <w:tc>
          <w:tcPr>
            <w:tcW w:w="4055" w:type="dxa"/>
          </w:tcPr>
          <w:p w:rsidR="0031327A" w:rsidRPr="006457F8" w:rsidRDefault="0031327A" w:rsidP="00273227">
            <w:pPr>
              <w:jc w:val="center"/>
              <w:rPr>
                <w:sz w:val="22"/>
              </w:rPr>
            </w:pPr>
          </w:p>
          <w:p w:rsidR="0031327A" w:rsidRPr="006457F8" w:rsidRDefault="0031327A" w:rsidP="00273227">
            <w:pPr>
              <w:jc w:val="center"/>
              <w:rPr>
                <w:sz w:val="22"/>
              </w:rPr>
            </w:pPr>
            <w:r>
              <w:rPr>
                <w:sz w:val="22"/>
              </w:rPr>
              <w:t>Financial Services &amp;</w:t>
            </w:r>
            <w:r w:rsidRPr="006457F8">
              <w:rPr>
                <w:sz w:val="22"/>
              </w:rPr>
              <w:t xml:space="preserve"> General Government</w:t>
            </w:r>
          </w:p>
        </w:tc>
        <w:tc>
          <w:tcPr>
            <w:tcW w:w="2520" w:type="dxa"/>
          </w:tcPr>
          <w:p w:rsidR="0031327A" w:rsidRPr="006457F8" w:rsidRDefault="0031327A" w:rsidP="00273227">
            <w:pPr>
              <w:jc w:val="center"/>
              <w:rPr>
                <w:sz w:val="22"/>
              </w:rPr>
            </w:pPr>
          </w:p>
          <w:p w:rsidR="0031327A" w:rsidRPr="006457F8" w:rsidRDefault="0031327A" w:rsidP="00273227">
            <w:pPr>
              <w:jc w:val="center"/>
              <w:rPr>
                <w:sz w:val="22"/>
              </w:rPr>
            </w:pPr>
            <w:r>
              <w:rPr>
                <w:sz w:val="22"/>
              </w:rPr>
              <w:t>Department of Treasury</w:t>
            </w:r>
          </w:p>
        </w:tc>
        <w:tc>
          <w:tcPr>
            <w:tcW w:w="3870" w:type="dxa"/>
          </w:tcPr>
          <w:p w:rsidR="0031327A" w:rsidRPr="006457F8" w:rsidRDefault="0031327A" w:rsidP="00273227">
            <w:pPr>
              <w:jc w:val="center"/>
              <w:rPr>
                <w:b/>
                <w:sz w:val="22"/>
              </w:rPr>
            </w:pPr>
          </w:p>
          <w:p w:rsidR="0031327A" w:rsidRDefault="0031327A" w:rsidP="00273227">
            <w:pPr>
              <w:jc w:val="center"/>
              <w:rPr>
                <w:sz w:val="22"/>
              </w:rPr>
            </w:pPr>
            <w:r>
              <w:rPr>
                <w:sz w:val="22"/>
              </w:rPr>
              <w:t>Community Development Financial Institutions Program Account</w:t>
            </w:r>
          </w:p>
          <w:p w:rsidR="0031327A" w:rsidRPr="004E7762" w:rsidRDefault="0031327A" w:rsidP="00273227">
            <w:pPr>
              <w:jc w:val="center"/>
              <w:rPr>
                <w:sz w:val="22"/>
              </w:rPr>
            </w:pPr>
          </w:p>
        </w:tc>
      </w:tr>
    </w:tbl>
    <w:p w:rsidR="00B06975" w:rsidRPr="006457F8" w:rsidRDefault="00B06975" w:rsidP="00B06975">
      <w:pPr>
        <w:rPr>
          <w:b/>
          <w:sz w:val="22"/>
          <w:szCs w:val="22"/>
        </w:rPr>
      </w:pPr>
    </w:p>
    <w:p w:rsidR="0031327A" w:rsidRPr="00B06975" w:rsidRDefault="0031327A" w:rsidP="00B06975">
      <w:pPr>
        <w:shd w:val="clear" w:color="auto" w:fill="C6D9F1" w:themeFill="text2" w:themeFillTint="33"/>
        <w:jc w:val="center"/>
        <w:rPr>
          <w:b/>
          <w:sz w:val="22"/>
          <w:szCs w:val="22"/>
          <w:u w:val="single"/>
        </w:rPr>
      </w:pPr>
      <w:r w:rsidRPr="006457F8">
        <w:rPr>
          <w:b/>
          <w:sz w:val="22"/>
          <w:szCs w:val="22"/>
          <w:u w:val="single"/>
        </w:rPr>
        <w:t xml:space="preserve">Programmatic Funding Request for </w:t>
      </w:r>
      <w:r>
        <w:rPr>
          <w:b/>
          <w:sz w:val="22"/>
          <w:szCs w:val="22"/>
          <w:u w:val="single"/>
        </w:rPr>
        <w:t>CDFI Fund</w:t>
      </w:r>
    </w:p>
    <w:tbl>
      <w:tblPr>
        <w:tblStyle w:val="TableGrid"/>
        <w:tblW w:w="10269" w:type="dxa"/>
        <w:jc w:val="center"/>
        <w:tblLook w:val="04A0" w:firstRow="1" w:lastRow="0" w:firstColumn="1" w:lastColumn="0" w:noHBand="0" w:noVBand="1"/>
      </w:tblPr>
      <w:tblGrid>
        <w:gridCol w:w="6228"/>
        <w:gridCol w:w="4041"/>
      </w:tblGrid>
      <w:tr w:rsidR="0031327A" w:rsidRPr="006457F8" w:rsidTr="00B06975">
        <w:trPr>
          <w:cantSplit/>
          <w:trHeight w:val="377"/>
          <w:jc w:val="center"/>
        </w:trPr>
        <w:tc>
          <w:tcPr>
            <w:tcW w:w="6228" w:type="dxa"/>
            <w:vAlign w:val="center"/>
          </w:tcPr>
          <w:p w:rsidR="0031327A" w:rsidRPr="006457F8" w:rsidRDefault="0031327A" w:rsidP="00273227">
            <w:pPr>
              <w:rPr>
                <w:sz w:val="22"/>
              </w:rPr>
            </w:pPr>
            <w:r w:rsidRPr="006457F8">
              <w:rPr>
                <w:sz w:val="22"/>
              </w:rPr>
              <w:t>Amount Requested</w:t>
            </w:r>
            <w:r w:rsidR="00B06975">
              <w:rPr>
                <w:sz w:val="22"/>
              </w:rPr>
              <w:t xml:space="preserve"> for FY 16</w:t>
            </w:r>
            <w:r w:rsidRPr="006457F8">
              <w:rPr>
                <w:sz w:val="22"/>
              </w:rPr>
              <w:t>:</w:t>
            </w:r>
          </w:p>
        </w:tc>
        <w:tc>
          <w:tcPr>
            <w:tcW w:w="4041" w:type="dxa"/>
            <w:vAlign w:val="center"/>
          </w:tcPr>
          <w:p w:rsidR="0031327A" w:rsidRPr="006457F8" w:rsidRDefault="0031327A" w:rsidP="00B06975">
            <w:pPr>
              <w:jc w:val="center"/>
              <w:rPr>
                <w:sz w:val="22"/>
              </w:rPr>
            </w:pPr>
            <w:r w:rsidRPr="006457F8">
              <w:rPr>
                <w:sz w:val="22"/>
              </w:rPr>
              <w:t xml:space="preserve">$ </w:t>
            </w:r>
            <w:r w:rsidR="00252C7B">
              <w:rPr>
                <w:sz w:val="22"/>
              </w:rPr>
              <w:t>2</w:t>
            </w:r>
            <w:r w:rsidR="00B06975">
              <w:rPr>
                <w:sz w:val="22"/>
              </w:rPr>
              <w:t>33.5</w:t>
            </w:r>
            <w:r w:rsidR="00252C7B">
              <w:rPr>
                <w:sz w:val="22"/>
              </w:rPr>
              <w:t xml:space="preserve"> </w:t>
            </w:r>
            <w:r w:rsidRPr="006457F8">
              <w:rPr>
                <w:sz w:val="22"/>
              </w:rPr>
              <w:t>million</w:t>
            </w:r>
          </w:p>
        </w:tc>
      </w:tr>
      <w:tr w:rsidR="0031327A" w:rsidRPr="006457F8" w:rsidTr="00B06975">
        <w:trPr>
          <w:cantSplit/>
          <w:trHeight w:val="260"/>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4041" w:type="dxa"/>
            <w:shd w:val="clear" w:color="auto" w:fill="DBE5F1" w:themeFill="accent1" w:themeFillTint="33"/>
            <w:vAlign w:val="center"/>
          </w:tcPr>
          <w:p w:rsidR="0031327A" w:rsidRPr="006457F8" w:rsidRDefault="0031327A" w:rsidP="00273227">
            <w:pPr>
              <w:rPr>
                <w:sz w:val="22"/>
              </w:rPr>
            </w:pPr>
          </w:p>
        </w:tc>
      </w:tr>
      <w:tr w:rsidR="0031327A" w:rsidRPr="006457F8" w:rsidTr="00B06975">
        <w:trPr>
          <w:cantSplit/>
          <w:jc w:val="center"/>
        </w:trPr>
        <w:tc>
          <w:tcPr>
            <w:tcW w:w="6228" w:type="dxa"/>
            <w:vAlign w:val="center"/>
          </w:tcPr>
          <w:p w:rsidR="0031327A" w:rsidRPr="006457F8" w:rsidRDefault="0031327A" w:rsidP="00B06975">
            <w:pPr>
              <w:rPr>
                <w:sz w:val="22"/>
              </w:rPr>
            </w:pPr>
            <w:r w:rsidRPr="006457F8">
              <w:rPr>
                <w:sz w:val="22"/>
              </w:rPr>
              <w:t>Amount included in FY1</w:t>
            </w:r>
            <w:r w:rsidR="00B06975">
              <w:rPr>
                <w:sz w:val="22"/>
              </w:rPr>
              <w:t>6</w:t>
            </w:r>
            <w:r>
              <w:rPr>
                <w:sz w:val="22"/>
              </w:rPr>
              <w:t xml:space="preserve"> </w:t>
            </w:r>
            <w:r w:rsidRPr="006457F8">
              <w:rPr>
                <w:sz w:val="22"/>
              </w:rPr>
              <w:t>President’s Budget:</w:t>
            </w:r>
          </w:p>
        </w:tc>
        <w:tc>
          <w:tcPr>
            <w:tcW w:w="4041" w:type="dxa"/>
            <w:vAlign w:val="center"/>
          </w:tcPr>
          <w:p w:rsidR="0031327A" w:rsidRPr="006457F8" w:rsidRDefault="0031327A" w:rsidP="00B06975">
            <w:pPr>
              <w:jc w:val="center"/>
              <w:rPr>
                <w:sz w:val="22"/>
              </w:rPr>
            </w:pPr>
            <w:r>
              <w:rPr>
                <w:sz w:val="22"/>
              </w:rPr>
              <w:t xml:space="preserve">$ </w:t>
            </w:r>
            <w:r w:rsidR="00B06975">
              <w:rPr>
                <w:sz w:val="22"/>
              </w:rPr>
              <w:t>233.5</w:t>
            </w:r>
            <w:r w:rsidRPr="006457F8">
              <w:rPr>
                <w:sz w:val="22"/>
              </w:rPr>
              <w:t xml:space="preserve"> </w:t>
            </w:r>
            <w:r>
              <w:rPr>
                <w:sz w:val="22"/>
              </w:rPr>
              <w:t>million</w:t>
            </w:r>
          </w:p>
        </w:tc>
      </w:tr>
      <w:tr w:rsidR="0031327A" w:rsidRPr="006457F8" w:rsidTr="00B06975">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4041"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B06975">
        <w:trPr>
          <w:cantSplit/>
          <w:jc w:val="center"/>
        </w:trPr>
        <w:tc>
          <w:tcPr>
            <w:tcW w:w="6228" w:type="dxa"/>
            <w:vAlign w:val="center"/>
          </w:tcPr>
          <w:p w:rsidR="0031327A" w:rsidRPr="006457F8" w:rsidRDefault="0031327A" w:rsidP="00B06975">
            <w:pPr>
              <w:rPr>
                <w:sz w:val="22"/>
              </w:rPr>
            </w:pPr>
            <w:r w:rsidRPr="006457F8">
              <w:rPr>
                <w:sz w:val="22"/>
              </w:rPr>
              <w:t>Amount Increase/Decrease over FY1</w:t>
            </w:r>
            <w:r w:rsidR="00B06975">
              <w:rPr>
                <w:sz w:val="22"/>
              </w:rPr>
              <w:t>6</w:t>
            </w:r>
            <w:r w:rsidRPr="006457F8">
              <w:rPr>
                <w:sz w:val="22"/>
              </w:rPr>
              <w:t xml:space="preserve"> President’s Budget:</w:t>
            </w:r>
          </w:p>
        </w:tc>
        <w:tc>
          <w:tcPr>
            <w:tcW w:w="4041" w:type="dxa"/>
            <w:vAlign w:val="center"/>
          </w:tcPr>
          <w:p w:rsidR="0031327A" w:rsidRPr="006457F8" w:rsidRDefault="00B06975" w:rsidP="00252C7B">
            <w:pPr>
              <w:jc w:val="center"/>
              <w:rPr>
                <w:sz w:val="22"/>
              </w:rPr>
            </w:pPr>
            <w:r>
              <w:rPr>
                <w:sz w:val="22"/>
              </w:rPr>
              <w:t>$0</w:t>
            </w:r>
          </w:p>
        </w:tc>
      </w:tr>
      <w:tr w:rsidR="0031327A" w:rsidRPr="006457F8" w:rsidTr="00B06975">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4041"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B06975">
        <w:trPr>
          <w:cantSplit/>
          <w:jc w:val="center"/>
        </w:trPr>
        <w:tc>
          <w:tcPr>
            <w:tcW w:w="6228" w:type="dxa"/>
            <w:vAlign w:val="center"/>
          </w:tcPr>
          <w:p w:rsidR="0031327A" w:rsidRPr="006457F8" w:rsidRDefault="0031327A" w:rsidP="00B06975">
            <w:pPr>
              <w:rPr>
                <w:sz w:val="22"/>
              </w:rPr>
            </w:pPr>
            <w:r w:rsidRPr="006457F8">
              <w:rPr>
                <w:sz w:val="22"/>
              </w:rPr>
              <w:t>Amount Appropriated for FY1</w:t>
            </w:r>
            <w:r w:rsidR="00B06975">
              <w:rPr>
                <w:sz w:val="22"/>
              </w:rPr>
              <w:t>5</w:t>
            </w:r>
          </w:p>
        </w:tc>
        <w:tc>
          <w:tcPr>
            <w:tcW w:w="4041" w:type="dxa"/>
            <w:vAlign w:val="center"/>
          </w:tcPr>
          <w:p w:rsidR="0031327A" w:rsidRPr="006457F8" w:rsidRDefault="0031327A" w:rsidP="00B06975">
            <w:pPr>
              <w:jc w:val="center"/>
              <w:rPr>
                <w:sz w:val="22"/>
              </w:rPr>
            </w:pPr>
            <w:r>
              <w:rPr>
                <w:sz w:val="22"/>
              </w:rPr>
              <w:t>$2</w:t>
            </w:r>
            <w:r w:rsidR="00B06975">
              <w:rPr>
                <w:sz w:val="22"/>
              </w:rPr>
              <w:t>30.5</w:t>
            </w:r>
            <w:r>
              <w:rPr>
                <w:sz w:val="22"/>
              </w:rPr>
              <w:t xml:space="preserve"> million</w:t>
            </w:r>
          </w:p>
        </w:tc>
      </w:tr>
      <w:tr w:rsidR="0031327A" w:rsidRPr="006457F8" w:rsidTr="00B06975">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4041"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B06975">
        <w:trPr>
          <w:cantSplit/>
          <w:jc w:val="center"/>
        </w:trPr>
        <w:tc>
          <w:tcPr>
            <w:tcW w:w="6228" w:type="dxa"/>
            <w:vAlign w:val="center"/>
          </w:tcPr>
          <w:p w:rsidR="0031327A" w:rsidRPr="006457F8" w:rsidRDefault="0031327A" w:rsidP="00B06975">
            <w:pPr>
              <w:rPr>
                <w:sz w:val="22"/>
              </w:rPr>
            </w:pPr>
            <w:r w:rsidRPr="006457F8">
              <w:rPr>
                <w:sz w:val="22"/>
              </w:rPr>
              <w:t>Amount Increase/Decrease over FY1</w:t>
            </w:r>
            <w:r w:rsidR="00B06975">
              <w:rPr>
                <w:sz w:val="22"/>
              </w:rPr>
              <w:t>5</w:t>
            </w:r>
            <w:r w:rsidRPr="006457F8">
              <w:rPr>
                <w:sz w:val="22"/>
              </w:rPr>
              <w:t>:</w:t>
            </w:r>
          </w:p>
        </w:tc>
        <w:tc>
          <w:tcPr>
            <w:tcW w:w="4041" w:type="dxa"/>
            <w:vAlign w:val="center"/>
          </w:tcPr>
          <w:p w:rsidR="0031327A" w:rsidRPr="006457F8" w:rsidRDefault="0031327A" w:rsidP="00B06975">
            <w:pPr>
              <w:jc w:val="center"/>
              <w:rPr>
                <w:sz w:val="22"/>
              </w:rPr>
            </w:pPr>
            <w:r w:rsidRPr="006457F8">
              <w:rPr>
                <w:sz w:val="22"/>
              </w:rPr>
              <w:t xml:space="preserve">$ </w:t>
            </w:r>
            <w:r w:rsidR="00B06975">
              <w:rPr>
                <w:sz w:val="22"/>
              </w:rPr>
              <w:t>3.0 million</w:t>
            </w:r>
          </w:p>
        </w:tc>
      </w:tr>
    </w:tbl>
    <w:p w:rsidR="00B06975" w:rsidRDefault="00B06975" w:rsidP="003B02CC">
      <w:pPr>
        <w:jc w:val="both"/>
        <w:rPr>
          <w:sz w:val="22"/>
          <w:szCs w:val="22"/>
        </w:rPr>
      </w:pPr>
    </w:p>
    <w:p w:rsidR="00B06975" w:rsidRDefault="00B06975" w:rsidP="006A71C8">
      <w:pPr>
        <w:autoSpaceDE w:val="0"/>
        <w:autoSpaceDN w:val="0"/>
        <w:adjustRightInd w:val="0"/>
        <w:jc w:val="both"/>
        <w:rPr>
          <w:sz w:val="22"/>
          <w:szCs w:val="22"/>
        </w:rPr>
      </w:pPr>
      <w:r>
        <w:rPr>
          <w:sz w:val="22"/>
          <w:szCs w:val="22"/>
        </w:rPr>
        <w:t>The CDFI Coalition urges Congress to appropriate $233.5 million to support CDFI Fund programs and activities in FY 2016 with no less than $1</w:t>
      </w:r>
      <w:r w:rsidR="00545F44">
        <w:rPr>
          <w:sz w:val="22"/>
          <w:szCs w:val="22"/>
        </w:rPr>
        <w:t>74</w:t>
      </w:r>
      <w:r>
        <w:rPr>
          <w:sz w:val="22"/>
          <w:szCs w:val="22"/>
        </w:rPr>
        <w:t>.6 million to fund Financial Assistance (FA) and Technical Assistance (TA) grants</w:t>
      </w:r>
      <w:r w:rsidR="00545F44">
        <w:rPr>
          <w:sz w:val="22"/>
          <w:szCs w:val="22"/>
        </w:rPr>
        <w:t xml:space="preserve"> including $</w:t>
      </w:r>
      <w:r>
        <w:rPr>
          <w:sz w:val="22"/>
          <w:szCs w:val="22"/>
        </w:rPr>
        <w:t>22 million for the Healthy Foods Financing Initiative, $16 million for the Native CDFI initiative, $18 million for Bank Enterprise Awards, and $24.9 for CDFI Fund administrative costs including costs associated with the New Markets Tax Credit, the Capital Magnet Fund and the CDFI Bond Initiative</w:t>
      </w:r>
      <w:r w:rsidRPr="008846F2">
        <w:rPr>
          <w:sz w:val="22"/>
          <w:szCs w:val="22"/>
        </w:rPr>
        <w:t>.</w:t>
      </w:r>
      <w:r w:rsidR="006A71C8" w:rsidRPr="008846F2">
        <w:rPr>
          <w:rFonts w:eastAsia="Arial Unicode MS"/>
          <w:color w:val="000000"/>
          <w:sz w:val="22"/>
          <w:szCs w:val="22"/>
        </w:rPr>
        <w:t xml:space="preserve"> While the Coalition supports efforts like the Healthy Foods Financing Initiative we have had a long-standing policy of opposing </w:t>
      </w:r>
      <w:r w:rsidR="006A71C8" w:rsidRPr="008846F2">
        <w:rPr>
          <w:color w:val="000000"/>
          <w:sz w:val="22"/>
          <w:szCs w:val="22"/>
        </w:rPr>
        <w:t>‘set asides’ within the CDFI Fund program account because we believe increasing funding for Financial and Technical Assistance  provides the Fund with flexibility and maintains its ability to set program priorities in its annual request for proposal process.</w:t>
      </w:r>
      <w:r w:rsidR="006A71C8">
        <w:rPr>
          <w:color w:val="000000"/>
          <w:sz w:val="22"/>
          <w:szCs w:val="22"/>
        </w:rPr>
        <w:t xml:space="preserve"> </w:t>
      </w:r>
      <w:r w:rsidR="00932651">
        <w:rPr>
          <w:sz w:val="22"/>
          <w:szCs w:val="22"/>
        </w:rPr>
        <w:t>The chart below id</w:t>
      </w:r>
      <w:r w:rsidR="00545F44">
        <w:rPr>
          <w:sz w:val="22"/>
          <w:szCs w:val="22"/>
        </w:rPr>
        <w:t>entifies the FY 2016 request broken down by program area or activity.</w:t>
      </w:r>
      <w:r w:rsidR="006A71C8">
        <w:rPr>
          <w:sz w:val="22"/>
          <w:szCs w:val="22"/>
        </w:rPr>
        <w:t xml:space="preserve"> </w:t>
      </w:r>
    </w:p>
    <w:p w:rsidR="006A71C8" w:rsidRPr="006A71C8" w:rsidRDefault="006A71C8" w:rsidP="006A71C8">
      <w:pPr>
        <w:autoSpaceDE w:val="0"/>
        <w:autoSpaceDN w:val="0"/>
        <w:adjustRightInd w:val="0"/>
        <w:jc w:val="both"/>
        <w:rPr>
          <w:color w:val="000000"/>
          <w:sz w:val="22"/>
          <w:szCs w:val="22"/>
        </w:rPr>
      </w:pPr>
    </w:p>
    <w:p w:rsidR="00B06975" w:rsidRDefault="00B06975" w:rsidP="00B06975">
      <w:pPr>
        <w:shd w:val="clear" w:color="auto" w:fill="C6D9F1" w:themeFill="text2" w:themeFillTint="33"/>
        <w:jc w:val="center"/>
        <w:outlineLvl w:val="0"/>
        <w:rPr>
          <w:b/>
          <w:color w:val="000000"/>
          <w:sz w:val="22"/>
          <w:szCs w:val="22"/>
          <w:u w:val="single"/>
        </w:rPr>
      </w:pPr>
      <w:r>
        <w:rPr>
          <w:b/>
          <w:color w:val="000000"/>
          <w:sz w:val="22"/>
          <w:szCs w:val="22"/>
          <w:u w:val="single"/>
        </w:rPr>
        <w:t>Appropriations History:</w:t>
      </w:r>
    </w:p>
    <w:p w:rsidR="00B06975" w:rsidRPr="00EC6611" w:rsidRDefault="00B06975" w:rsidP="00B06975">
      <w:pPr>
        <w:shd w:val="clear" w:color="auto" w:fill="C6D9F1" w:themeFill="text2" w:themeFillTint="33"/>
        <w:jc w:val="center"/>
        <w:outlineLvl w:val="0"/>
        <w:rPr>
          <w:b/>
          <w:color w:val="000000"/>
          <w:sz w:val="22"/>
          <w:szCs w:val="22"/>
          <w:u w:val="single"/>
        </w:rPr>
      </w:pPr>
      <w:r>
        <w:rPr>
          <w:b/>
          <w:color w:val="000000"/>
          <w:sz w:val="22"/>
          <w:szCs w:val="22"/>
          <w:u w:val="single"/>
        </w:rPr>
        <w:t xml:space="preserve">FY 2011 to FY </w:t>
      </w:r>
      <w:r w:rsidRPr="00EC6611">
        <w:rPr>
          <w:b/>
          <w:color w:val="000000"/>
          <w:sz w:val="22"/>
          <w:szCs w:val="22"/>
          <w:u w:val="single"/>
        </w:rPr>
        <w:t>20</w:t>
      </w:r>
      <w:r>
        <w:rPr>
          <w:b/>
          <w:color w:val="000000"/>
          <w:sz w:val="22"/>
          <w:szCs w:val="22"/>
          <w:u w:val="single"/>
        </w:rPr>
        <w:t>14; President’s FY 2016 Request; and CDFI Coalition’ FY 2016 Request</w:t>
      </w:r>
    </w:p>
    <w:p w:rsidR="00B06975" w:rsidRPr="00881D1A" w:rsidRDefault="00B06975" w:rsidP="003B02CC">
      <w:pPr>
        <w:shd w:val="clear" w:color="auto" w:fill="C6D9F1" w:themeFill="text2" w:themeFillTint="33"/>
        <w:jc w:val="center"/>
        <w:rPr>
          <w:i/>
          <w:color w:val="000000"/>
          <w:sz w:val="20"/>
          <w:szCs w:val="20"/>
        </w:rPr>
      </w:pPr>
      <w:r w:rsidRPr="00881D1A">
        <w:rPr>
          <w:i/>
          <w:color w:val="000000"/>
          <w:sz w:val="20"/>
          <w:szCs w:val="20"/>
        </w:rPr>
        <w:t>($ in millions)</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900"/>
        <w:gridCol w:w="810"/>
        <w:gridCol w:w="810"/>
        <w:gridCol w:w="720"/>
        <w:gridCol w:w="900"/>
        <w:gridCol w:w="1170"/>
        <w:gridCol w:w="1999"/>
      </w:tblGrid>
      <w:tr w:rsidR="00B06975" w:rsidRPr="00774FDF" w:rsidTr="00B06975">
        <w:trPr>
          <w:trHeight w:val="395"/>
          <w:jc w:val="center"/>
        </w:trPr>
        <w:tc>
          <w:tcPr>
            <w:tcW w:w="3150" w:type="dxa"/>
            <w:shd w:val="clear" w:color="auto" w:fill="auto"/>
          </w:tcPr>
          <w:p w:rsidR="00B06975" w:rsidRPr="00774FDF" w:rsidRDefault="00B06975" w:rsidP="00E03D01">
            <w:pPr>
              <w:jc w:val="center"/>
              <w:rPr>
                <w:rFonts w:ascii="Calibri" w:hAnsi="Calibri" w:cs="Calibri"/>
                <w:b/>
                <w:bCs/>
                <w:color w:val="000000"/>
                <w:sz w:val="22"/>
                <w:szCs w:val="22"/>
              </w:rPr>
            </w:pPr>
          </w:p>
        </w:tc>
        <w:tc>
          <w:tcPr>
            <w:tcW w:w="900" w:type="dxa"/>
            <w:shd w:val="clear" w:color="auto" w:fill="auto"/>
          </w:tcPr>
          <w:p w:rsidR="00B06975" w:rsidRDefault="00B06975" w:rsidP="00E03D01">
            <w:pPr>
              <w:jc w:val="center"/>
              <w:rPr>
                <w:rFonts w:ascii="Calibri" w:hAnsi="Calibri" w:cs="Calibri"/>
                <w:b/>
                <w:bCs/>
                <w:color w:val="000000"/>
                <w:sz w:val="22"/>
                <w:szCs w:val="22"/>
              </w:rPr>
            </w:pPr>
          </w:p>
          <w:p w:rsidR="00B06975" w:rsidRPr="00774FDF" w:rsidRDefault="00B06975" w:rsidP="00E03D01">
            <w:pPr>
              <w:jc w:val="center"/>
              <w:rPr>
                <w:rFonts w:ascii="Calibri" w:hAnsi="Calibri" w:cs="Calibri"/>
                <w:b/>
                <w:bCs/>
                <w:color w:val="000000"/>
                <w:sz w:val="22"/>
                <w:szCs w:val="22"/>
              </w:rPr>
            </w:pPr>
            <w:r w:rsidRPr="00774FDF">
              <w:rPr>
                <w:rFonts w:ascii="Calibri" w:hAnsi="Calibri" w:cs="Calibri"/>
                <w:b/>
                <w:bCs/>
                <w:color w:val="000000"/>
                <w:sz w:val="22"/>
                <w:szCs w:val="22"/>
              </w:rPr>
              <w:t>FY 11</w:t>
            </w:r>
          </w:p>
        </w:tc>
        <w:tc>
          <w:tcPr>
            <w:tcW w:w="810" w:type="dxa"/>
            <w:shd w:val="clear" w:color="auto" w:fill="auto"/>
          </w:tcPr>
          <w:p w:rsidR="00B06975" w:rsidRDefault="00B06975" w:rsidP="00E03D01">
            <w:pPr>
              <w:jc w:val="center"/>
              <w:rPr>
                <w:rFonts w:ascii="Calibri" w:hAnsi="Calibri" w:cs="Calibri"/>
                <w:b/>
                <w:bCs/>
                <w:color w:val="000000"/>
                <w:sz w:val="22"/>
                <w:szCs w:val="22"/>
              </w:rPr>
            </w:pPr>
          </w:p>
          <w:p w:rsidR="00B06975" w:rsidRPr="00774FDF" w:rsidRDefault="00B06975" w:rsidP="00E03D01">
            <w:pPr>
              <w:jc w:val="center"/>
              <w:rPr>
                <w:rFonts w:ascii="Calibri" w:hAnsi="Calibri" w:cs="Calibri"/>
                <w:b/>
                <w:bCs/>
                <w:color w:val="000000"/>
                <w:sz w:val="22"/>
                <w:szCs w:val="22"/>
              </w:rPr>
            </w:pPr>
            <w:r w:rsidRPr="00774FDF">
              <w:rPr>
                <w:rFonts w:ascii="Calibri" w:hAnsi="Calibri" w:cs="Calibri"/>
                <w:b/>
                <w:bCs/>
                <w:color w:val="000000"/>
                <w:sz w:val="22"/>
                <w:szCs w:val="22"/>
              </w:rPr>
              <w:t>FY 12</w:t>
            </w:r>
          </w:p>
          <w:p w:rsidR="00B06975" w:rsidRPr="00774FDF" w:rsidRDefault="00B06975" w:rsidP="00E03D01">
            <w:pPr>
              <w:jc w:val="center"/>
              <w:rPr>
                <w:rFonts w:ascii="Calibri" w:hAnsi="Calibri" w:cs="Calibri"/>
                <w:b/>
                <w:bCs/>
                <w:color w:val="000000"/>
                <w:sz w:val="22"/>
                <w:szCs w:val="22"/>
              </w:rPr>
            </w:pPr>
          </w:p>
        </w:tc>
        <w:tc>
          <w:tcPr>
            <w:tcW w:w="810" w:type="dxa"/>
            <w:shd w:val="clear" w:color="auto" w:fill="auto"/>
          </w:tcPr>
          <w:p w:rsidR="00B06975" w:rsidRDefault="00B06975" w:rsidP="00E03D01">
            <w:pPr>
              <w:jc w:val="center"/>
              <w:rPr>
                <w:rFonts w:ascii="Calibri" w:hAnsi="Calibri" w:cs="Calibri"/>
                <w:b/>
                <w:bCs/>
                <w:color w:val="000000"/>
                <w:sz w:val="22"/>
                <w:szCs w:val="22"/>
              </w:rPr>
            </w:pPr>
          </w:p>
          <w:p w:rsidR="00B06975" w:rsidRPr="00774FDF"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 xml:space="preserve">FY 13 </w:t>
            </w:r>
          </w:p>
          <w:p w:rsidR="00B06975" w:rsidRPr="00774FDF" w:rsidRDefault="00B06975" w:rsidP="00E03D01">
            <w:pPr>
              <w:jc w:val="center"/>
              <w:rPr>
                <w:rFonts w:ascii="Calibri" w:hAnsi="Calibri" w:cs="Calibri"/>
                <w:b/>
                <w:bCs/>
                <w:color w:val="000000"/>
                <w:sz w:val="22"/>
                <w:szCs w:val="22"/>
              </w:rPr>
            </w:pPr>
          </w:p>
        </w:tc>
        <w:tc>
          <w:tcPr>
            <w:tcW w:w="720" w:type="dxa"/>
          </w:tcPr>
          <w:p w:rsidR="00B06975" w:rsidRDefault="00B06975" w:rsidP="00E03D01">
            <w:pPr>
              <w:jc w:val="center"/>
              <w:rPr>
                <w:rFonts w:ascii="Calibri" w:hAnsi="Calibri" w:cs="Calibri"/>
                <w:b/>
                <w:bCs/>
                <w:color w:val="000000"/>
                <w:sz w:val="22"/>
                <w:szCs w:val="22"/>
              </w:rPr>
            </w:pPr>
          </w:p>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FY 14</w:t>
            </w:r>
          </w:p>
        </w:tc>
        <w:tc>
          <w:tcPr>
            <w:tcW w:w="900" w:type="dxa"/>
          </w:tcPr>
          <w:p w:rsidR="00B06975" w:rsidRDefault="00B06975" w:rsidP="00E03D01">
            <w:pPr>
              <w:jc w:val="center"/>
              <w:rPr>
                <w:rFonts w:ascii="Calibri" w:hAnsi="Calibri" w:cs="Calibri"/>
                <w:b/>
                <w:bCs/>
                <w:color w:val="000000"/>
                <w:sz w:val="22"/>
                <w:szCs w:val="22"/>
              </w:rPr>
            </w:pPr>
          </w:p>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FY 15</w:t>
            </w:r>
          </w:p>
        </w:tc>
        <w:tc>
          <w:tcPr>
            <w:tcW w:w="1170" w:type="dxa"/>
          </w:tcPr>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FY 16</w:t>
            </w:r>
          </w:p>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Budget</w:t>
            </w:r>
          </w:p>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Request</w:t>
            </w:r>
          </w:p>
        </w:tc>
        <w:tc>
          <w:tcPr>
            <w:tcW w:w="1999" w:type="dxa"/>
            <w:shd w:val="clear" w:color="auto" w:fill="C6D9F1" w:themeFill="text2" w:themeFillTint="33"/>
          </w:tcPr>
          <w:p w:rsidR="00B06975" w:rsidRPr="00B06975" w:rsidRDefault="00B06975" w:rsidP="00E03D01">
            <w:pPr>
              <w:jc w:val="center"/>
              <w:rPr>
                <w:rFonts w:ascii="Calibri" w:hAnsi="Calibri" w:cs="Calibri"/>
                <w:b/>
                <w:bCs/>
                <w:color w:val="000000"/>
                <w:sz w:val="22"/>
                <w:szCs w:val="22"/>
              </w:rPr>
            </w:pPr>
            <w:r w:rsidRPr="00B06975">
              <w:rPr>
                <w:rFonts w:ascii="Calibri" w:hAnsi="Calibri" w:cs="Calibri"/>
                <w:b/>
                <w:bCs/>
                <w:color w:val="000000"/>
                <w:sz w:val="22"/>
                <w:szCs w:val="22"/>
              </w:rPr>
              <w:t xml:space="preserve">FY 16 </w:t>
            </w:r>
          </w:p>
          <w:p w:rsidR="00B06975" w:rsidRPr="00B06975" w:rsidRDefault="00B06975" w:rsidP="00E03D01">
            <w:pPr>
              <w:jc w:val="center"/>
              <w:rPr>
                <w:rFonts w:ascii="Calibri" w:hAnsi="Calibri" w:cs="Calibri"/>
                <w:b/>
                <w:bCs/>
                <w:color w:val="000000"/>
                <w:sz w:val="22"/>
                <w:szCs w:val="22"/>
              </w:rPr>
            </w:pPr>
            <w:r w:rsidRPr="00B06975">
              <w:rPr>
                <w:rFonts w:ascii="Calibri" w:hAnsi="Calibri" w:cs="Calibri"/>
                <w:b/>
                <w:bCs/>
                <w:color w:val="000000"/>
                <w:sz w:val="22"/>
                <w:szCs w:val="22"/>
              </w:rPr>
              <w:t>CDFI Coalition</w:t>
            </w:r>
          </w:p>
          <w:p w:rsidR="00B06975" w:rsidRPr="00B06975" w:rsidRDefault="00B06975" w:rsidP="00B06975">
            <w:pPr>
              <w:jc w:val="center"/>
              <w:rPr>
                <w:rFonts w:ascii="Calibri" w:hAnsi="Calibri" w:cs="Calibri"/>
                <w:b/>
                <w:bCs/>
                <w:color w:val="000000"/>
                <w:sz w:val="22"/>
                <w:szCs w:val="22"/>
              </w:rPr>
            </w:pPr>
            <w:r w:rsidRPr="00B06975">
              <w:rPr>
                <w:rFonts w:ascii="Calibri" w:hAnsi="Calibri" w:cs="Calibri"/>
                <w:b/>
                <w:bCs/>
                <w:color w:val="000000"/>
                <w:sz w:val="22"/>
                <w:szCs w:val="22"/>
              </w:rPr>
              <w:t>Request</w:t>
            </w:r>
          </w:p>
        </w:tc>
      </w:tr>
      <w:tr w:rsidR="00B06975" w:rsidRPr="00774FDF" w:rsidTr="00B06975">
        <w:trPr>
          <w:trHeight w:val="300"/>
          <w:jc w:val="center"/>
        </w:trPr>
        <w:tc>
          <w:tcPr>
            <w:tcW w:w="315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sidRPr="004E7762">
              <w:rPr>
                <w:rFonts w:ascii="Calibri" w:hAnsi="Calibri" w:cs="Calibri"/>
                <w:b/>
                <w:color w:val="000000"/>
                <w:sz w:val="22"/>
                <w:szCs w:val="22"/>
              </w:rPr>
              <w:t>CDFI Fund Appropriation</w:t>
            </w:r>
          </w:p>
        </w:tc>
        <w:tc>
          <w:tcPr>
            <w:tcW w:w="90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sidRPr="004E7762">
              <w:rPr>
                <w:rFonts w:ascii="Calibri" w:hAnsi="Calibri" w:cs="Calibri"/>
                <w:b/>
                <w:color w:val="000000"/>
                <w:sz w:val="22"/>
                <w:szCs w:val="22"/>
              </w:rPr>
              <w:t>$ 227</w:t>
            </w:r>
          </w:p>
        </w:tc>
        <w:tc>
          <w:tcPr>
            <w:tcW w:w="81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sidRPr="004E7762">
              <w:rPr>
                <w:rFonts w:ascii="Calibri" w:hAnsi="Calibri" w:cs="Calibri"/>
                <w:b/>
                <w:color w:val="000000"/>
                <w:sz w:val="22"/>
                <w:szCs w:val="22"/>
              </w:rPr>
              <w:t>$221</w:t>
            </w:r>
          </w:p>
        </w:tc>
        <w:tc>
          <w:tcPr>
            <w:tcW w:w="81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sidRPr="004E7762">
              <w:rPr>
                <w:rFonts w:ascii="Calibri" w:hAnsi="Calibri" w:cs="Calibri"/>
                <w:b/>
                <w:color w:val="000000"/>
                <w:sz w:val="22"/>
                <w:szCs w:val="22"/>
              </w:rPr>
              <w:t>$221</w:t>
            </w:r>
          </w:p>
        </w:tc>
        <w:tc>
          <w:tcPr>
            <w:tcW w:w="72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Pr>
                <w:rFonts w:ascii="Calibri" w:hAnsi="Calibri" w:cs="Calibri"/>
                <w:b/>
                <w:color w:val="000000"/>
                <w:sz w:val="22"/>
                <w:szCs w:val="22"/>
              </w:rPr>
              <w:t>$226</w:t>
            </w:r>
          </w:p>
        </w:tc>
        <w:tc>
          <w:tcPr>
            <w:tcW w:w="900" w:type="dxa"/>
            <w:shd w:val="clear" w:color="auto" w:fill="F2DBDB" w:themeFill="accent2" w:themeFillTint="33"/>
          </w:tcPr>
          <w:p w:rsidR="00B06975" w:rsidRDefault="00B06975" w:rsidP="00E03D01">
            <w:pPr>
              <w:jc w:val="center"/>
              <w:rPr>
                <w:rFonts w:ascii="Calibri" w:hAnsi="Calibri" w:cs="Calibri"/>
                <w:b/>
                <w:color w:val="000000"/>
                <w:sz w:val="22"/>
                <w:szCs w:val="22"/>
              </w:rPr>
            </w:pPr>
            <w:r>
              <w:rPr>
                <w:rFonts w:ascii="Calibri" w:hAnsi="Calibri" w:cs="Calibri"/>
                <w:b/>
                <w:color w:val="000000"/>
                <w:sz w:val="22"/>
                <w:szCs w:val="22"/>
              </w:rPr>
              <w:t>230.5</w:t>
            </w:r>
          </w:p>
        </w:tc>
        <w:tc>
          <w:tcPr>
            <w:tcW w:w="1170" w:type="dxa"/>
            <w:shd w:val="clear" w:color="auto" w:fill="F2DBDB" w:themeFill="accent2" w:themeFillTint="33"/>
          </w:tcPr>
          <w:p w:rsidR="00B06975" w:rsidRDefault="00B06975" w:rsidP="00E03D01">
            <w:pPr>
              <w:jc w:val="center"/>
              <w:rPr>
                <w:rFonts w:ascii="Calibri" w:hAnsi="Calibri" w:cs="Calibri"/>
                <w:b/>
                <w:color w:val="000000"/>
                <w:sz w:val="22"/>
                <w:szCs w:val="22"/>
              </w:rPr>
            </w:pPr>
            <w:r>
              <w:rPr>
                <w:rFonts w:ascii="Calibri" w:hAnsi="Calibri" w:cs="Calibri"/>
                <w:b/>
                <w:color w:val="000000"/>
                <w:sz w:val="22"/>
                <w:szCs w:val="22"/>
              </w:rPr>
              <w:t>233.5</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233.5</w:t>
            </w:r>
          </w:p>
        </w:tc>
      </w:tr>
      <w:tr w:rsidR="00B06975" w:rsidRPr="00774FDF" w:rsidTr="00B06975">
        <w:trPr>
          <w:trHeight w:val="332"/>
          <w:jc w:val="center"/>
        </w:trPr>
        <w:tc>
          <w:tcPr>
            <w:tcW w:w="3150" w:type="dxa"/>
            <w:shd w:val="clear" w:color="auto" w:fill="auto"/>
          </w:tcPr>
          <w:p w:rsidR="00545F44" w:rsidRPr="008846F2" w:rsidRDefault="00B06975" w:rsidP="00E03D01">
            <w:pPr>
              <w:rPr>
                <w:rFonts w:ascii="Calibri" w:hAnsi="Calibri" w:cs="Calibri"/>
                <w:i/>
                <w:color w:val="000000"/>
                <w:sz w:val="22"/>
                <w:szCs w:val="22"/>
              </w:rPr>
            </w:pPr>
            <w:r w:rsidRPr="008846F2">
              <w:rPr>
                <w:rFonts w:ascii="Calibri" w:hAnsi="Calibri" w:cs="Calibri"/>
                <w:i/>
                <w:color w:val="000000"/>
                <w:sz w:val="22"/>
                <w:szCs w:val="22"/>
              </w:rPr>
              <w:t xml:space="preserve">      -    CDFI Program (FA/TA)</w:t>
            </w:r>
          </w:p>
          <w:p w:rsidR="00545F44" w:rsidRPr="008846F2" w:rsidRDefault="00545F44" w:rsidP="00545F44">
            <w:pPr>
              <w:rPr>
                <w:rFonts w:ascii="Calibri" w:hAnsi="Calibri" w:cs="Calibri"/>
                <w:i/>
                <w:color w:val="000000"/>
                <w:sz w:val="20"/>
                <w:szCs w:val="20"/>
              </w:rPr>
            </w:pPr>
            <w:r w:rsidRPr="008846F2">
              <w:rPr>
                <w:rFonts w:ascii="Calibri" w:hAnsi="Calibri" w:cs="Calibri"/>
                <w:i/>
                <w:color w:val="000000"/>
                <w:sz w:val="20"/>
                <w:szCs w:val="20"/>
              </w:rPr>
              <w:t xml:space="preserve">                            (Healthy Foods)</w:t>
            </w:r>
          </w:p>
        </w:tc>
        <w:tc>
          <w:tcPr>
            <w:tcW w:w="900" w:type="dxa"/>
            <w:shd w:val="clear" w:color="auto" w:fill="auto"/>
          </w:tcPr>
          <w:p w:rsidR="00B06975" w:rsidRPr="008846F2" w:rsidRDefault="00B06975" w:rsidP="00545F44">
            <w:pPr>
              <w:jc w:val="center"/>
              <w:rPr>
                <w:rFonts w:ascii="Calibri" w:hAnsi="Calibri" w:cs="Calibri"/>
                <w:i/>
                <w:color w:val="000000"/>
                <w:sz w:val="22"/>
                <w:szCs w:val="22"/>
              </w:rPr>
            </w:pPr>
            <w:r w:rsidRPr="008846F2">
              <w:rPr>
                <w:rFonts w:ascii="Calibri" w:hAnsi="Calibri" w:cs="Calibri"/>
                <w:i/>
                <w:color w:val="000000"/>
                <w:sz w:val="22"/>
                <w:szCs w:val="22"/>
              </w:rPr>
              <w:t>1</w:t>
            </w:r>
            <w:r w:rsidR="00545F44" w:rsidRPr="008846F2">
              <w:rPr>
                <w:rFonts w:ascii="Calibri" w:hAnsi="Calibri" w:cs="Calibri"/>
                <w:i/>
                <w:color w:val="000000"/>
                <w:sz w:val="22"/>
                <w:szCs w:val="22"/>
              </w:rPr>
              <w:t>75</w:t>
            </w:r>
          </w:p>
          <w:p w:rsidR="00545F44" w:rsidRPr="008846F2" w:rsidRDefault="00545F44" w:rsidP="00545F44">
            <w:pPr>
              <w:jc w:val="center"/>
              <w:rPr>
                <w:rFonts w:ascii="Calibri" w:hAnsi="Calibri" w:cs="Calibri"/>
                <w:i/>
                <w:color w:val="000000"/>
                <w:sz w:val="22"/>
                <w:szCs w:val="22"/>
              </w:rPr>
            </w:pPr>
            <w:r w:rsidRPr="008846F2">
              <w:rPr>
                <w:rFonts w:ascii="Calibri" w:hAnsi="Calibri" w:cs="Calibri"/>
                <w:i/>
                <w:color w:val="000000"/>
                <w:sz w:val="22"/>
                <w:szCs w:val="22"/>
              </w:rPr>
              <w:t>(25)</w:t>
            </w:r>
          </w:p>
        </w:tc>
        <w:tc>
          <w:tcPr>
            <w:tcW w:w="810" w:type="dxa"/>
            <w:shd w:val="clear" w:color="auto" w:fill="auto"/>
          </w:tcPr>
          <w:p w:rsidR="00B06975" w:rsidRPr="008846F2" w:rsidRDefault="00B06975" w:rsidP="00545F44">
            <w:pPr>
              <w:jc w:val="center"/>
              <w:rPr>
                <w:rFonts w:ascii="Calibri" w:hAnsi="Calibri" w:cs="Calibri"/>
                <w:i/>
                <w:color w:val="000000"/>
                <w:sz w:val="22"/>
                <w:szCs w:val="22"/>
              </w:rPr>
            </w:pPr>
            <w:r w:rsidRPr="008846F2">
              <w:rPr>
                <w:rFonts w:ascii="Calibri" w:hAnsi="Calibri" w:cs="Calibri"/>
                <w:i/>
                <w:color w:val="000000"/>
                <w:sz w:val="22"/>
                <w:szCs w:val="22"/>
              </w:rPr>
              <w:t>1</w:t>
            </w:r>
            <w:r w:rsidR="00545F44" w:rsidRPr="008846F2">
              <w:rPr>
                <w:rFonts w:ascii="Calibri" w:hAnsi="Calibri" w:cs="Calibri"/>
                <w:i/>
                <w:color w:val="000000"/>
                <w:sz w:val="22"/>
                <w:szCs w:val="22"/>
              </w:rPr>
              <w:t>68</w:t>
            </w:r>
          </w:p>
          <w:p w:rsidR="00545F44" w:rsidRPr="008846F2" w:rsidRDefault="00545F44" w:rsidP="00545F44">
            <w:pPr>
              <w:jc w:val="center"/>
              <w:rPr>
                <w:rFonts w:ascii="Calibri" w:hAnsi="Calibri" w:cs="Calibri"/>
                <w:i/>
                <w:color w:val="000000"/>
                <w:sz w:val="22"/>
                <w:szCs w:val="22"/>
              </w:rPr>
            </w:pPr>
            <w:r w:rsidRPr="008846F2">
              <w:rPr>
                <w:rFonts w:ascii="Calibri" w:hAnsi="Calibri" w:cs="Calibri"/>
                <w:i/>
                <w:color w:val="000000"/>
                <w:sz w:val="22"/>
                <w:szCs w:val="22"/>
              </w:rPr>
              <w:t>(22)</w:t>
            </w:r>
          </w:p>
        </w:tc>
        <w:tc>
          <w:tcPr>
            <w:tcW w:w="810" w:type="dxa"/>
            <w:shd w:val="clear" w:color="auto" w:fill="auto"/>
          </w:tcPr>
          <w:p w:rsidR="00B06975" w:rsidRPr="008846F2" w:rsidRDefault="00B06975" w:rsidP="00E03D01">
            <w:pPr>
              <w:jc w:val="center"/>
              <w:rPr>
                <w:rFonts w:ascii="Calibri" w:hAnsi="Calibri" w:cs="Calibri"/>
                <w:color w:val="000000"/>
                <w:sz w:val="22"/>
                <w:szCs w:val="22"/>
              </w:rPr>
            </w:pPr>
            <w:r w:rsidRPr="008846F2">
              <w:rPr>
                <w:rFonts w:ascii="Calibri" w:hAnsi="Calibri" w:cs="Calibri"/>
                <w:color w:val="000000"/>
                <w:sz w:val="22"/>
                <w:szCs w:val="22"/>
              </w:rPr>
              <w:t>1</w:t>
            </w:r>
            <w:r w:rsidR="00545F44" w:rsidRPr="008846F2">
              <w:rPr>
                <w:rFonts w:ascii="Calibri" w:hAnsi="Calibri" w:cs="Calibri"/>
                <w:color w:val="000000"/>
                <w:sz w:val="22"/>
                <w:szCs w:val="22"/>
              </w:rPr>
              <w:t>68</w:t>
            </w:r>
          </w:p>
          <w:p w:rsidR="00545F44" w:rsidRPr="008846F2" w:rsidRDefault="00545F44" w:rsidP="00E03D01">
            <w:pPr>
              <w:jc w:val="center"/>
              <w:rPr>
                <w:rFonts w:ascii="Calibri" w:hAnsi="Calibri" w:cs="Calibri"/>
                <w:color w:val="000000"/>
                <w:sz w:val="22"/>
                <w:szCs w:val="22"/>
              </w:rPr>
            </w:pPr>
            <w:r w:rsidRPr="008846F2">
              <w:rPr>
                <w:rFonts w:ascii="Calibri" w:hAnsi="Calibri" w:cs="Calibri"/>
                <w:color w:val="000000"/>
                <w:sz w:val="22"/>
                <w:szCs w:val="22"/>
              </w:rPr>
              <w:t>(22)</w:t>
            </w:r>
          </w:p>
        </w:tc>
        <w:tc>
          <w:tcPr>
            <w:tcW w:w="720" w:type="dxa"/>
          </w:tcPr>
          <w:p w:rsidR="00B06975" w:rsidRPr="008846F2" w:rsidRDefault="00B06975" w:rsidP="00545F44">
            <w:pPr>
              <w:jc w:val="center"/>
              <w:rPr>
                <w:rFonts w:ascii="Calibri" w:hAnsi="Calibri" w:cs="Calibri"/>
                <w:color w:val="000000"/>
                <w:sz w:val="22"/>
                <w:szCs w:val="22"/>
              </w:rPr>
            </w:pPr>
            <w:r w:rsidRPr="008846F2">
              <w:rPr>
                <w:rFonts w:ascii="Calibri" w:hAnsi="Calibri" w:cs="Calibri"/>
                <w:color w:val="000000"/>
                <w:sz w:val="22"/>
                <w:szCs w:val="22"/>
              </w:rPr>
              <w:t>1</w:t>
            </w:r>
            <w:r w:rsidR="00545F44" w:rsidRPr="008846F2">
              <w:rPr>
                <w:rFonts w:ascii="Calibri" w:hAnsi="Calibri" w:cs="Calibri"/>
                <w:color w:val="000000"/>
                <w:sz w:val="22"/>
                <w:szCs w:val="22"/>
              </w:rPr>
              <w:t>67</w:t>
            </w:r>
            <w:r w:rsidRPr="008846F2">
              <w:rPr>
                <w:rFonts w:ascii="Calibri" w:hAnsi="Calibri" w:cs="Calibri"/>
                <w:color w:val="000000"/>
                <w:sz w:val="22"/>
                <w:szCs w:val="22"/>
              </w:rPr>
              <w:t>.5</w:t>
            </w:r>
          </w:p>
          <w:p w:rsidR="00545F44" w:rsidRPr="008846F2" w:rsidRDefault="00545F44" w:rsidP="00545F44">
            <w:pPr>
              <w:jc w:val="center"/>
              <w:rPr>
                <w:rFonts w:ascii="Calibri" w:hAnsi="Calibri" w:cs="Calibri"/>
                <w:color w:val="000000"/>
                <w:sz w:val="22"/>
                <w:szCs w:val="22"/>
              </w:rPr>
            </w:pPr>
            <w:r w:rsidRPr="008846F2">
              <w:rPr>
                <w:rFonts w:ascii="Calibri" w:hAnsi="Calibri" w:cs="Calibri"/>
                <w:color w:val="000000"/>
                <w:sz w:val="22"/>
                <w:szCs w:val="22"/>
              </w:rPr>
              <w:t>(22)</w:t>
            </w:r>
          </w:p>
        </w:tc>
        <w:tc>
          <w:tcPr>
            <w:tcW w:w="900" w:type="dxa"/>
          </w:tcPr>
          <w:p w:rsidR="00B06975" w:rsidRPr="008846F2" w:rsidRDefault="00545F44" w:rsidP="00E03D01">
            <w:pPr>
              <w:jc w:val="center"/>
              <w:rPr>
                <w:rFonts w:ascii="Calibri" w:hAnsi="Calibri" w:cs="Calibri"/>
                <w:color w:val="000000"/>
                <w:sz w:val="22"/>
                <w:szCs w:val="22"/>
              </w:rPr>
            </w:pPr>
            <w:r w:rsidRPr="008846F2">
              <w:rPr>
                <w:rFonts w:ascii="Calibri" w:hAnsi="Calibri" w:cs="Calibri"/>
                <w:color w:val="000000"/>
                <w:sz w:val="22"/>
                <w:szCs w:val="22"/>
              </w:rPr>
              <w:t>174</w:t>
            </w:r>
            <w:r w:rsidR="00B06975" w:rsidRPr="008846F2">
              <w:rPr>
                <w:rFonts w:ascii="Calibri" w:hAnsi="Calibri" w:cs="Calibri"/>
                <w:color w:val="000000"/>
                <w:sz w:val="22"/>
                <w:szCs w:val="22"/>
              </w:rPr>
              <w:t>.4</w:t>
            </w:r>
          </w:p>
          <w:p w:rsidR="00545F44" w:rsidRPr="008846F2" w:rsidRDefault="00545F44" w:rsidP="00E03D01">
            <w:pPr>
              <w:jc w:val="center"/>
              <w:rPr>
                <w:rFonts w:ascii="Calibri" w:hAnsi="Calibri" w:cs="Calibri"/>
                <w:color w:val="000000"/>
                <w:sz w:val="22"/>
                <w:szCs w:val="22"/>
              </w:rPr>
            </w:pPr>
            <w:r w:rsidRPr="008846F2">
              <w:rPr>
                <w:rFonts w:ascii="Calibri" w:hAnsi="Calibri" w:cs="Calibri"/>
                <w:color w:val="000000"/>
                <w:sz w:val="22"/>
                <w:szCs w:val="22"/>
              </w:rPr>
              <w:t>(22)</w:t>
            </w:r>
          </w:p>
        </w:tc>
        <w:tc>
          <w:tcPr>
            <w:tcW w:w="1170" w:type="dxa"/>
          </w:tcPr>
          <w:p w:rsidR="00B06975" w:rsidRPr="008846F2" w:rsidRDefault="00B06975" w:rsidP="00545F44">
            <w:pPr>
              <w:jc w:val="center"/>
              <w:rPr>
                <w:rFonts w:ascii="Calibri" w:hAnsi="Calibri" w:cs="Calibri"/>
                <w:color w:val="000000"/>
                <w:sz w:val="22"/>
                <w:szCs w:val="22"/>
              </w:rPr>
            </w:pPr>
            <w:r w:rsidRPr="008846F2">
              <w:rPr>
                <w:rFonts w:ascii="Calibri" w:hAnsi="Calibri" w:cs="Calibri"/>
                <w:color w:val="000000"/>
                <w:sz w:val="22"/>
                <w:szCs w:val="22"/>
              </w:rPr>
              <w:t>1</w:t>
            </w:r>
            <w:r w:rsidR="00545F44" w:rsidRPr="008846F2">
              <w:rPr>
                <w:rFonts w:ascii="Calibri" w:hAnsi="Calibri" w:cs="Calibri"/>
                <w:color w:val="000000"/>
                <w:sz w:val="22"/>
                <w:szCs w:val="22"/>
              </w:rPr>
              <w:t>92</w:t>
            </w:r>
            <w:r w:rsidRPr="008846F2">
              <w:rPr>
                <w:rFonts w:ascii="Calibri" w:hAnsi="Calibri" w:cs="Calibri"/>
                <w:color w:val="000000"/>
                <w:sz w:val="22"/>
                <w:szCs w:val="22"/>
              </w:rPr>
              <w:t>.6</w:t>
            </w:r>
          </w:p>
          <w:p w:rsidR="00545F44" w:rsidRPr="008846F2" w:rsidRDefault="00545F44" w:rsidP="00545F44">
            <w:pPr>
              <w:jc w:val="center"/>
              <w:rPr>
                <w:rFonts w:ascii="Calibri" w:hAnsi="Calibri" w:cs="Calibri"/>
                <w:color w:val="000000"/>
                <w:sz w:val="22"/>
                <w:szCs w:val="22"/>
              </w:rPr>
            </w:pPr>
            <w:r w:rsidRPr="008846F2">
              <w:rPr>
                <w:rFonts w:ascii="Calibri" w:hAnsi="Calibri" w:cs="Calibri"/>
                <w:color w:val="000000"/>
                <w:sz w:val="22"/>
                <w:szCs w:val="22"/>
              </w:rPr>
              <w:t>(35)</w:t>
            </w:r>
          </w:p>
        </w:tc>
        <w:tc>
          <w:tcPr>
            <w:tcW w:w="1999" w:type="dxa"/>
            <w:shd w:val="clear" w:color="auto" w:fill="C6D9F1" w:themeFill="text2" w:themeFillTint="33"/>
          </w:tcPr>
          <w:p w:rsidR="00B06975" w:rsidRPr="008846F2" w:rsidRDefault="00B06975" w:rsidP="00545F44">
            <w:pPr>
              <w:jc w:val="center"/>
              <w:rPr>
                <w:rFonts w:ascii="Calibri" w:hAnsi="Calibri" w:cs="Calibri"/>
                <w:b/>
                <w:color w:val="000000"/>
                <w:sz w:val="22"/>
                <w:szCs w:val="22"/>
              </w:rPr>
            </w:pPr>
            <w:r w:rsidRPr="008846F2">
              <w:rPr>
                <w:rFonts w:ascii="Calibri" w:hAnsi="Calibri" w:cs="Calibri"/>
                <w:b/>
                <w:color w:val="000000"/>
                <w:sz w:val="22"/>
                <w:szCs w:val="22"/>
              </w:rPr>
              <w:t>1</w:t>
            </w:r>
            <w:r w:rsidR="00545F44" w:rsidRPr="008846F2">
              <w:rPr>
                <w:rFonts w:ascii="Calibri" w:hAnsi="Calibri" w:cs="Calibri"/>
                <w:b/>
                <w:color w:val="000000"/>
                <w:sz w:val="22"/>
                <w:szCs w:val="22"/>
              </w:rPr>
              <w:t>74</w:t>
            </w:r>
            <w:r w:rsidRPr="008846F2">
              <w:rPr>
                <w:rFonts w:ascii="Calibri" w:hAnsi="Calibri" w:cs="Calibri"/>
                <w:b/>
                <w:color w:val="000000"/>
                <w:sz w:val="22"/>
                <w:szCs w:val="22"/>
              </w:rPr>
              <w:t>.6</w:t>
            </w:r>
          </w:p>
        </w:tc>
      </w:tr>
      <w:tr w:rsidR="00B06975" w:rsidRPr="00774FDF" w:rsidTr="00B06975">
        <w:trPr>
          <w:trHeight w:val="300"/>
          <w:jc w:val="center"/>
        </w:trPr>
        <w:tc>
          <w:tcPr>
            <w:tcW w:w="3150" w:type="dxa"/>
            <w:shd w:val="clear" w:color="auto" w:fill="auto"/>
          </w:tcPr>
          <w:p w:rsidR="00B06975" w:rsidRPr="00504190" w:rsidRDefault="00B06975" w:rsidP="00E03D01">
            <w:pPr>
              <w:numPr>
                <w:ilvl w:val="0"/>
                <w:numId w:val="1"/>
              </w:numPr>
              <w:rPr>
                <w:rFonts w:ascii="Calibri" w:hAnsi="Calibri" w:cs="Calibri"/>
                <w:i/>
                <w:color w:val="000000"/>
                <w:sz w:val="22"/>
                <w:szCs w:val="22"/>
              </w:rPr>
            </w:pPr>
            <w:r w:rsidRPr="00504190">
              <w:rPr>
                <w:rFonts w:ascii="Calibri" w:hAnsi="Calibri" w:cs="Calibri"/>
                <w:i/>
                <w:color w:val="000000"/>
                <w:sz w:val="22"/>
                <w:szCs w:val="22"/>
              </w:rPr>
              <w:t>Native Initiatives</w:t>
            </w:r>
          </w:p>
        </w:tc>
        <w:tc>
          <w:tcPr>
            <w:tcW w:w="90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81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810" w:type="dxa"/>
            <w:shd w:val="clear" w:color="auto" w:fill="auto"/>
          </w:tcPr>
          <w:p w:rsidR="00B06975" w:rsidRPr="00774FDF" w:rsidRDefault="00B06975" w:rsidP="00E03D01">
            <w:pPr>
              <w:jc w:val="center"/>
              <w:rPr>
                <w:rFonts w:ascii="Calibri" w:hAnsi="Calibri" w:cs="Calibri"/>
                <w:color w:val="000000"/>
                <w:sz w:val="22"/>
                <w:szCs w:val="22"/>
              </w:rPr>
            </w:pPr>
            <w:r>
              <w:rPr>
                <w:rFonts w:ascii="Calibri" w:hAnsi="Calibri" w:cs="Calibri"/>
                <w:color w:val="000000"/>
                <w:sz w:val="22"/>
                <w:szCs w:val="22"/>
              </w:rPr>
              <w:t>12</w:t>
            </w:r>
          </w:p>
        </w:tc>
        <w:tc>
          <w:tcPr>
            <w:tcW w:w="72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15</w:t>
            </w:r>
          </w:p>
        </w:tc>
        <w:tc>
          <w:tcPr>
            <w:tcW w:w="90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15</w:t>
            </w:r>
          </w:p>
        </w:tc>
        <w:tc>
          <w:tcPr>
            <w:tcW w:w="117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16</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16</w:t>
            </w:r>
          </w:p>
        </w:tc>
      </w:tr>
      <w:tr w:rsidR="00B06975" w:rsidRPr="00774FDF" w:rsidTr="00B06975">
        <w:trPr>
          <w:trHeight w:val="300"/>
          <w:jc w:val="center"/>
        </w:trPr>
        <w:tc>
          <w:tcPr>
            <w:tcW w:w="3150" w:type="dxa"/>
            <w:shd w:val="clear" w:color="auto" w:fill="auto"/>
          </w:tcPr>
          <w:p w:rsidR="00B06975" w:rsidRPr="00504190" w:rsidRDefault="00B06975" w:rsidP="00E03D01">
            <w:pPr>
              <w:numPr>
                <w:ilvl w:val="0"/>
                <w:numId w:val="1"/>
              </w:numPr>
              <w:rPr>
                <w:rFonts w:ascii="Calibri" w:hAnsi="Calibri" w:cs="Calibri"/>
                <w:i/>
                <w:color w:val="000000"/>
                <w:sz w:val="22"/>
                <w:szCs w:val="22"/>
              </w:rPr>
            </w:pPr>
            <w:r w:rsidRPr="00504190">
              <w:rPr>
                <w:rFonts w:ascii="Calibri" w:hAnsi="Calibri" w:cs="Calibri"/>
                <w:i/>
                <w:color w:val="000000"/>
                <w:sz w:val="22"/>
                <w:szCs w:val="22"/>
              </w:rPr>
              <w:t>Bank Enterprise Award</w:t>
            </w:r>
          </w:p>
        </w:tc>
        <w:tc>
          <w:tcPr>
            <w:tcW w:w="90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81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810" w:type="dxa"/>
            <w:shd w:val="clear" w:color="auto" w:fill="auto"/>
          </w:tcPr>
          <w:p w:rsidR="00B06975" w:rsidRPr="00774FDF" w:rsidRDefault="00B06975" w:rsidP="00E03D01">
            <w:pPr>
              <w:jc w:val="center"/>
              <w:rPr>
                <w:rFonts w:ascii="Calibri" w:hAnsi="Calibri" w:cs="Calibri"/>
                <w:color w:val="000000"/>
                <w:sz w:val="22"/>
                <w:szCs w:val="22"/>
              </w:rPr>
            </w:pPr>
            <w:r>
              <w:rPr>
                <w:rFonts w:ascii="Calibri" w:hAnsi="Calibri" w:cs="Calibri"/>
                <w:color w:val="000000"/>
                <w:sz w:val="22"/>
                <w:szCs w:val="22"/>
              </w:rPr>
              <w:t>18</w:t>
            </w:r>
          </w:p>
        </w:tc>
        <w:tc>
          <w:tcPr>
            <w:tcW w:w="72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18</w:t>
            </w:r>
          </w:p>
        </w:tc>
        <w:tc>
          <w:tcPr>
            <w:tcW w:w="90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18</w:t>
            </w:r>
          </w:p>
        </w:tc>
        <w:tc>
          <w:tcPr>
            <w:tcW w:w="117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0</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18</w:t>
            </w:r>
          </w:p>
        </w:tc>
      </w:tr>
      <w:tr w:rsidR="00B06975" w:rsidRPr="00774FDF" w:rsidTr="00B06975">
        <w:trPr>
          <w:trHeight w:val="300"/>
          <w:jc w:val="center"/>
        </w:trPr>
        <w:tc>
          <w:tcPr>
            <w:tcW w:w="3150" w:type="dxa"/>
            <w:shd w:val="clear" w:color="auto" w:fill="auto"/>
          </w:tcPr>
          <w:p w:rsidR="00B06975" w:rsidRPr="00504190" w:rsidRDefault="00B06975" w:rsidP="00E03D01">
            <w:pPr>
              <w:numPr>
                <w:ilvl w:val="0"/>
                <w:numId w:val="1"/>
              </w:numPr>
              <w:rPr>
                <w:rFonts w:ascii="Calibri" w:hAnsi="Calibri" w:cs="Calibri"/>
                <w:i/>
                <w:color w:val="000000"/>
                <w:sz w:val="22"/>
                <w:szCs w:val="22"/>
              </w:rPr>
            </w:pPr>
            <w:r w:rsidRPr="00504190">
              <w:rPr>
                <w:rFonts w:ascii="Calibri" w:hAnsi="Calibri" w:cs="Calibri"/>
                <w:i/>
                <w:color w:val="000000"/>
                <w:sz w:val="22"/>
                <w:szCs w:val="22"/>
              </w:rPr>
              <w:t xml:space="preserve"> Admin Expenses</w:t>
            </w:r>
          </w:p>
        </w:tc>
        <w:tc>
          <w:tcPr>
            <w:tcW w:w="90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81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23</w:t>
            </w:r>
          </w:p>
        </w:tc>
        <w:tc>
          <w:tcPr>
            <w:tcW w:w="810" w:type="dxa"/>
            <w:shd w:val="clear" w:color="auto" w:fill="auto"/>
          </w:tcPr>
          <w:p w:rsidR="00B06975" w:rsidRPr="00774FDF" w:rsidRDefault="00B06975" w:rsidP="00E03D01">
            <w:pPr>
              <w:jc w:val="center"/>
              <w:rPr>
                <w:rFonts w:ascii="Calibri" w:hAnsi="Calibri" w:cs="Calibri"/>
                <w:color w:val="000000"/>
                <w:sz w:val="22"/>
                <w:szCs w:val="22"/>
              </w:rPr>
            </w:pPr>
            <w:r>
              <w:rPr>
                <w:rFonts w:ascii="Calibri" w:hAnsi="Calibri" w:cs="Calibri"/>
                <w:color w:val="000000"/>
                <w:sz w:val="22"/>
                <w:szCs w:val="22"/>
              </w:rPr>
              <w:t>23</w:t>
            </w:r>
          </w:p>
        </w:tc>
        <w:tc>
          <w:tcPr>
            <w:tcW w:w="72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24.6</w:t>
            </w:r>
          </w:p>
        </w:tc>
        <w:tc>
          <w:tcPr>
            <w:tcW w:w="90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23.1</w:t>
            </w:r>
          </w:p>
        </w:tc>
        <w:tc>
          <w:tcPr>
            <w:tcW w:w="117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24.9</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24.9</w:t>
            </w:r>
          </w:p>
        </w:tc>
      </w:tr>
      <w:tr w:rsidR="00B06975" w:rsidRPr="00774FDF" w:rsidTr="00B06975">
        <w:trPr>
          <w:trHeight w:val="300"/>
          <w:jc w:val="center"/>
        </w:trPr>
        <w:tc>
          <w:tcPr>
            <w:tcW w:w="3150" w:type="dxa"/>
            <w:shd w:val="clear" w:color="auto" w:fill="8DB3E2" w:themeFill="text2" w:themeFillTint="66"/>
          </w:tcPr>
          <w:p w:rsidR="00B06975" w:rsidRPr="00504190" w:rsidRDefault="00B06975" w:rsidP="00B06975">
            <w:pPr>
              <w:ind w:left="660"/>
              <w:rPr>
                <w:rFonts w:ascii="Calibri" w:hAnsi="Calibri" w:cs="Calibri"/>
                <w:i/>
                <w:color w:val="000000"/>
                <w:sz w:val="22"/>
                <w:szCs w:val="22"/>
              </w:rPr>
            </w:pPr>
          </w:p>
        </w:tc>
        <w:tc>
          <w:tcPr>
            <w:tcW w:w="900" w:type="dxa"/>
            <w:shd w:val="clear" w:color="auto" w:fill="8DB3E2" w:themeFill="text2" w:themeFillTint="66"/>
          </w:tcPr>
          <w:p w:rsidR="00B06975" w:rsidRPr="00504190" w:rsidRDefault="00B06975" w:rsidP="00E03D01">
            <w:pPr>
              <w:jc w:val="center"/>
              <w:rPr>
                <w:rFonts w:ascii="Calibri" w:hAnsi="Calibri" w:cs="Calibri"/>
                <w:i/>
                <w:color w:val="000000"/>
                <w:sz w:val="22"/>
                <w:szCs w:val="22"/>
              </w:rPr>
            </w:pPr>
          </w:p>
        </w:tc>
        <w:tc>
          <w:tcPr>
            <w:tcW w:w="810" w:type="dxa"/>
            <w:shd w:val="clear" w:color="auto" w:fill="8DB3E2" w:themeFill="text2" w:themeFillTint="66"/>
          </w:tcPr>
          <w:p w:rsidR="00B06975" w:rsidRPr="00504190" w:rsidRDefault="00B06975" w:rsidP="00E03D01">
            <w:pPr>
              <w:jc w:val="center"/>
              <w:rPr>
                <w:rFonts w:ascii="Calibri" w:hAnsi="Calibri" w:cs="Calibri"/>
                <w:i/>
                <w:color w:val="000000"/>
                <w:sz w:val="22"/>
                <w:szCs w:val="22"/>
              </w:rPr>
            </w:pPr>
          </w:p>
        </w:tc>
        <w:tc>
          <w:tcPr>
            <w:tcW w:w="810" w:type="dxa"/>
            <w:shd w:val="clear" w:color="auto" w:fill="8DB3E2" w:themeFill="text2" w:themeFillTint="66"/>
          </w:tcPr>
          <w:p w:rsidR="00B06975" w:rsidRDefault="00B06975" w:rsidP="00E03D01">
            <w:pPr>
              <w:jc w:val="center"/>
              <w:rPr>
                <w:rFonts w:ascii="Calibri" w:hAnsi="Calibri" w:cs="Calibri"/>
                <w:color w:val="000000"/>
                <w:sz w:val="22"/>
                <w:szCs w:val="22"/>
              </w:rPr>
            </w:pPr>
          </w:p>
        </w:tc>
        <w:tc>
          <w:tcPr>
            <w:tcW w:w="720" w:type="dxa"/>
            <w:shd w:val="clear" w:color="auto" w:fill="8DB3E2" w:themeFill="text2" w:themeFillTint="66"/>
          </w:tcPr>
          <w:p w:rsidR="00B06975" w:rsidRDefault="00B06975" w:rsidP="00E03D01">
            <w:pPr>
              <w:jc w:val="center"/>
              <w:rPr>
                <w:rFonts w:ascii="Calibri" w:hAnsi="Calibri" w:cs="Calibri"/>
                <w:color w:val="000000"/>
                <w:sz w:val="22"/>
                <w:szCs w:val="22"/>
              </w:rPr>
            </w:pPr>
          </w:p>
        </w:tc>
        <w:tc>
          <w:tcPr>
            <w:tcW w:w="900" w:type="dxa"/>
            <w:shd w:val="clear" w:color="auto" w:fill="8DB3E2" w:themeFill="text2" w:themeFillTint="66"/>
          </w:tcPr>
          <w:p w:rsidR="00B06975" w:rsidRDefault="00B06975" w:rsidP="00E03D01">
            <w:pPr>
              <w:jc w:val="center"/>
              <w:rPr>
                <w:rFonts w:ascii="Calibri" w:hAnsi="Calibri" w:cs="Calibri"/>
                <w:color w:val="000000"/>
                <w:sz w:val="22"/>
                <w:szCs w:val="22"/>
              </w:rPr>
            </w:pPr>
          </w:p>
        </w:tc>
        <w:tc>
          <w:tcPr>
            <w:tcW w:w="1170" w:type="dxa"/>
            <w:shd w:val="clear" w:color="auto" w:fill="8DB3E2" w:themeFill="text2" w:themeFillTint="66"/>
          </w:tcPr>
          <w:p w:rsidR="00B06975" w:rsidRDefault="00B06975" w:rsidP="00E03D01">
            <w:pPr>
              <w:jc w:val="center"/>
              <w:rPr>
                <w:rFonts w:ascii="Calibri" w:hAnsi="Calibri" w:cs="Calibri"/>
                <w:color w:val="000000"/>
                <w:sz w:val="22"/>
                <w:szCs w:val="22"/>
              </w:rPr>
            </w:pPr>
          </w:p>
        </w:tc>
        <w:tc>
          <w:tcPr>
            <w:tcW w:w="1999" w:type="dxa"/>
            <w:shd w:val="clear" w:color="auto" w:fill="8DB3E2" w:themeFill="text2" w:themeFillTint="66"/>
          </w:tcPr>
          <w:p w:rsidR="00B06975" w:rsidRPr="00B06975" w:rsidRDefault="00B06975" w:rsidP="00E03D01">
            <w:pPr>
              <w:jc w:val="center"/>
              <w:rPr>
                <w:rFonts w:ascii="Calibri" w:hAnsi="Calibri" w:cs="Calibri"/>
                <w:b/>
                <w:color w:val="000000"/>
                <w:sz w:val="22"/>
                <w:szCs w:val="22"/>
              </w:rPr>
            </w:pPr>
          </w:p>
        </w:tc>
      </w:tr>
      <w:tr w:rsidR="00B06975" w:rsidRPr="00774FDF" w:rsidTr="00B06975">
        <w:trPr>
          <w:trHeight w:val="300"/>
          <w:jc w:val="center"/>
        </w:trPr>
        <w:tc>
          <w:tcPr>
            <w:tcW w:w="3150" w:type="dxa"/>
            <w:shd w:val="clear" w:color="auto" w:fill="auto"/>
          </w:tcPr>
          <w:p w:rsidR="00B06975" w:rsidRPr="00504190" w:rsidRDefault="00B06975" w:rsidP="00E03D01">
            <w:pPr>
              <w:rPr>
                <w:rFonts w:ascii="Calibri" w:hAnsi="Calibri" w:cs="Calibri"/>
                <w:i/>
                <w:color w:val="000000"/>
                <w:sz w:val="22"/>
                <w:szCs w:val="22"/>
              </w:rPr>
            </w:pPr>
            <w:r>
              <w:rPr>
                <w:rFonts w:ascii="Calibri" w:hAnsi="Calibri" w:cs="Calibri"/>
                <w:i/>
                <w:color w:val="000000"/>
                <w:sz w:val="22"/>
                <w:szCs w:val="22"/>
              </w:rPr>
              <w:t>CDFI Bond Program*</w:t>
            </w:r>
          </w:p>
        </w:tc>
        <w:tc>
          <w:tcPr>
            <w:tcW w:w="900" w:type="dxa"/>
            <w:shd w:val="clear" w:color="auto" w:fill="auto"/>
          </w:tcPr>
          <w:p w:rsidR="00B06975" w:rsidRPr="00504190" w:rsidRDefault="00B06975" w:rsidP="00E03D01">
            <w:pPr>
              <w:jc w:val="center"/>
              <w:rPr>
                <w:rFonts w:ascii="Calibri" w:hAnsi="Calibri" w:cs="Calibri"/>
                <w:i/>
                <w:color w:val="000000"/>
                <w:sz w:val="22"/>
                <w:szCs w:val="22"/>
              </w:rPr>
            </w:pPr>
            <w:r>
              <w:rPr>
                <w:rFonts w:ascii="Calibri" w:hAnsi="Calibri" w:cs="Calibri"/>
                <w:i/>
                <w:color w:val="000000"/>
                <w:sz w:val="22"/>
                <w:szCs w:val="22"/>
              </w:rPr>
              <w:t>n/a</w:t>
            </w:r>
          </w:p>
        </w:tc>
        <w:tc>
          <w:tcPr>
            <w:tcW w:w="810" w:type="dxa"/>
            <w:shd w:val="clear" w:color="auto" w:fill="auto"/>
          </w:tcPr>
          <w:p w:rsidR="00B06975" w:rsidRPr="00504190" w:rsidRDefault="00B06975" w:rsidP="00E03D01">
            <w:pPr>
              <w:jc w:val="center"/>
              <w:rPr>
                <w:rFonts w:ascii="Calibri" w:hAnsi="Calibri" w:cs="Calibri"/>
                <w:i/>
                <w:color w:val="000000"/>
                <w:sz w:val="22"/>
                <w:szCs w:val="22"/>
              </w:rPr>
            </w:pPr>
            <w:r>
              <w:rPr>
                <w:rFonts w:ascii="Calibri" w:hAnsi="Calibri" w:cs="Calibri"/>
                <w:i/>
                <w:color w:val="000000"/>
                <w:sz w:val="22"/>
                <w:szCs w:val="22"/>
              </w:rPr>
              <w:t>n/a</w:t>
            </w:r>
          </w:p>
        </w:tc>
        <w:tc>
          <w:tcPr>
            <w:tcW w:w="810" w:type="dxa"/>
            <w:shd w:val="clear" w:color="auto" w:fill="auto"/>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500</w:t>
            </w:r>
          </w:p>
        </w:tc>
        <w:tc>
          <w:tcPr>
            <w:tcW w:w="72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750</w:t>
            </w:r>
          </w:p>
        </w:tc>
        <w:tc>
          <w:tcPr>
            <w:tcW w:w="90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750</w:t>
            </w:r>
          </w:p>
        </w:tc>
        <w:tc>
          <w:tcPr>
            <w:tcW w:w="117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1000</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1000</w:t>
            </w:r>
          </w:p>
        </w:tc>
      </w:tr>
    </w:tbl>
    <w:p w:rsidR="00B06975" w:rsidRPr="00B06975" w:rsidRDefault="00B06975" w:rsidP="00B06975">
      <w:pPr>
        <w:rPr>
          <w:color w:val="000000"/>
          <w:sz w:val="20"/>
          <w:szCs w:val="20"/>
        </w:rPr>
      </w:pPr>
      <w:r>
        <w:rPr>
          <w:color w:val="000000"/>
          <w:sz w:val="20"/>
          <w:szCs w:val="20"/>
        </w:rPr>
        <w:t>*</w:t>
      </w:r>
      <w:r w:rsidRPr="00B06975">
        <w:rPr>
          <w:color w:val="000000"/>
          <w:sz w:val="20"/>
          <w:szCs w:val="20"/>
        </w:rPr>
        <w:t>The CDFI Bond Program does not require an appropriation</w:t>
      </w:r>
    </w:p>
    <w:p w:rsidR="00B06975" w:rsidRPr="00B06975" w:rsidRDefault="00B06975" w:rsidP="00B06975">
      <w:pPr>
        <w:ind w:right="-540"/>
        <w:rPr>
          <w:color w:val="000000"/>
          <w:sz w:val="20"/>
          <w:szCs w:val="20"/>
        </w:rPr>
      </w:pPr>
    </w:p>
    <w:p w:rsidR="00545F44" w:rsidRDefault="00545F44" w:rsidP="00545F44">
      <w:pPr>
        <w:ind w:right="-540"/>
        <w:rPr>
          <w:color w:val="000000"/>
          <w:sz w:val="20"/>
          <w:szCs w:val="20"/>
        </w:rPr>
      </w:pPr>
      <w:r>
        <w:rPr>
          <w:color w:val="000000"/>
          <w:sz w:val="20"/>
          <w:szCs w:val="20"/>
        </w:rPr>
        <w:t xml:space="preserve">. </w:t>
      </w:r>
    </w:p>
    <w:p w:rsidR="00545F44" w:rsidRDefault="00545F44" w:rsidP="0031327A">
      <w:pPr>
        <w:rPr>
          <w:sz w:val="22"/>
          <w:szCs w:val="22"/>
        </w:rPr>
      </w:pPr>
    </w:p>
    <w:p w:rsidR="00B06975" w:rsidRDefault="00B06975" w:rsidP="0031327A">
      <w:pPr>
        <w:rPr>
          <w:sz w:val="22"/>
          <w:szCs w:val="22"/>
        </w:rPr>
      </w:pPr>
      <w:r>
        <w:rPr>
          <w:sz w:val="22"/>
          <w:szCs w:val="22"/>
        </w:rPr>
        <w:lastRenderedPageBreak/>
        <w:t>In addition, the Coalition</w:t>
      </w:r>
      <w:r w:rsidR="00932651">
        <w:rPr>
          <w:sz w:val="22"/>
          <w:szCs w:val="22"/>
        </w:rPr>
        <w:t xml:space="preserve"> supports the President’s Budget request to waive the match requirement for </w:t>
      </w:r>
      <w:r w:rsidR="00B64965">
        <w:rPr>
          <w:sz w:val="22"/>
          <w:szCs w:val="22"/>
        </w:rPr>
        <w:t>Small and/or Emerging CDFI Assistance awards and for</w:t>
      </w:r>
      <w:r w:rsidR="00CF2877">
        <w:rPr>
          <w:sz w:val="22"/>
          <w:szCs w:val="22"/>
        </w:rPr>
        <w:t xml:space="preserve"> awards made under the Native CDFI Initiative. </w:t>
      </w:r>
      <w:r w:rsidR="00B64965">
        <w:rPr>
          <w:sz w:val="22"/>
          <w:szCs w:val="22"/>
        </w:rPr>
        <w:t xml:space="preserve"> </w:t>
      </w:r>
    </w:p>
    <w:p w:rsidR="00CF2877" w:rsidRDefault="00CF2877" w:rsidP="0031327A">
      <w:pPr>
        <w:rPr>
          <w:sz w:val="22"/>
          <w:szCs w:val="22"/>
        </w:rPr>
      </w:pPr>
    </w:p>
    <w:p w:rsidR="00CF2877" w:rsidRDefault="00CF2877" w:rsidP="0031327A">
      <w:pPr>
        <w:rPr>
          <w:sz w:val="22"/>
          <w:szCs w:val="22"/>
        </w:rPr>
      </w:pPr>
      <w:r>
        <w:rPr>
          <w:sz w:val="22"/>
          <w:szCs w:val="22"/>
        </w:rPr>
        <w:t xml:space="preserve">The Coalition also urges Congress to extend the CDFI Bond Program’s guarantee authority through FY </w:t>
      </w:r>
      <w:r w:rsidR="00413468">
        <w:rPr>
          <w:sz w:val="22"/>
          <w:szCs w:val="22"/>
        </w:rPr>
        <w:t>2016 with</w:t>
      </w:r>
      <w:r>
        <w:rPr>
          <w:sz w:val="22"/>
          <w:szCs w:val="22"/>
        </w:rPr>
        <w:t xml:space="preserve"> up to $1 billion in guarantee </w:t>
      </w:r>
      <w:r w:rsidR="00413468">
        <w:rPr>
          <w:sz w:val="22"/>
          <w:szCs w:val="22"/>
        </w:rPr>
        <w:t>authority for</w:t>
      </w:r>
      <w:r>
        <w:rPr>
          <w:sz w:val="22"/>
          <w:szCs w:val="22"/>
        </w:rPr>
        <w:t xml:space="preserve"> the year. </w:t>
      </w:r>
    </w:p>
    <w:p w:rsidR="0031327A" w:rsidRDefault="0031327A" w:rsidP="0031327A">
      <w:pPr>
        <w:rPr>
          <w:b/>
          <w:sz w:val="22"/>
          <w:szCs w:val="22"/>
          <w:u w:val="single"/>
        </w:rPr>
      </w:pPr>
    </w:p>
    <w:p w:rsidR="0031327A" w:rsidRPr="00761CA8" w:rsidRDefault="0031327A" w:rsidP="00761CA8">
      <w:pPr>
        <w:shd w:val="clear" w:color="auto" w:fill="C6D9F1" w:themeFill="text2" w:themeFillTint="33"/>
        <w:jc w:val="center"/>
        <w:rPr>
          <w:b/>
          <w:sz w:val="22"/>
          <w:szCs w:val="22"/>
          <w:u w:val="single"/>
        </w:rPr>
      </w:pPr>
      <w:r w:rsidRPr="006457F8">
        <w:rPr>
          <w:b/>
          <w:sz w:val="22"/>
          <w:szCs w:val="22"/>
          <w:u w:val="single"/>
        </w:rPr>
        <w:t>Program Description and Justification for FY1</w:t>
      </w:r>
      <w:r w:rsidR="00B06975">
        <w:rPr>
          <w:b/>
          <w:sz w:val="22"/>
          <w:szCs w:val="22"/>
          <w:u w:val="single"/>
        </w:rPr>
        <w:t>6 Request</w:t>
      </w:r>
    </w:p>
    <w:p w:rsidR="0031327A" w:rsidRPr="00EA2CF4" w:rsidRDefault="0031327A" w:rsidP="0031327A">
      <w:pPr>
        <w:pStyle w:val="EndnoteText"/>
        <w:rPr>
          <w:sz w:val="22"/>
          <w:szCs w:val="22"/>
        </w:rPr>
      </w:pPr>
      <w:r w:rsidRPr="00EA2CF4">
        <w:rPr>
          <w:b/>
          <w:sz w:val="22"/>
          <w:szCs w:val="22"/>
        </w:rPr>
        <w:t>The Community Development Financial Institutions Fund</w:t>
      </w:r>
      <w:r w:rsidRPr="00EA2CF4">
        <w:rPr>
          <w:sz w:val="22"/>
          <w:szCs w:val="22"/>
        </w:rPr>
        <w:t xml:space="preserve"> (CDFI Fund) was established within the U.S. Department of Treasury in 1994</w:t>
      </w:r>
      <w:r w:rsidRPr="00EA2CF4">
        <w:rPr>
          <w:rStyle w:val="FootnoteReference"/>
          <w:sz w:val="22"/>
          <w:szCs w:val="22"/>
        </w:rPr>
        <w:footnoteReference w:id="1"/>
      </w:r>
      <w:r w:rsidRPr="00EA2CF4">
        <w:rPr>
          <w:sz w:val="22"/>
          <w:szCs w:val="22"/>
        </w:rPr>
        <w:t xml:space="preserve"> to promote community development in economically distressed urban and rural communities by investing in and growing </w:t>
      </w:r>
      <w:r w:rsidRPr="00EA2CF4">
        <w:rPr>
          <w:b/>
          <w:sz w:val="22"/>
          <w:szCs w:val="22"/>
        </w:rPr>
        <w:t>Community Development Financial Institutions(</w:t>
      </w:r>
      <w:r w:rsidRPr="00EA2CF4">
        <w:rPr>
          <w:sz w:val="22"/>
          <w:szCs w:val="22"/>
        </w:rPr>
        <w:t xml:space="preserve"> CDFIs) across the country.</w:t>
      </w:r>
    </w:p>
    <w:p w:rsidR="0031327A" w:rsidRPr="00EA2CF4" w:rsidRDefault="0031327A" w:rsidP="0031327A">
      <w:pPr>
        <w:spacing w:before="120"/>
        <w:rPr>
          <w:sz w:val="22"/>
          <w:szCs w:val="22"/>
        </w:rPr>
      </w:pPr>
      <w:r w:rsidRPr="00EA2CF4">
        <w:rPr>
          <w:sz w:val="22"/>
          <w:szCs w:val="22"/>
        </w:rPr>
        <w:t>CDFIs, are mission-driven financial institutions that specialize in delivering affordable credit, capital, and financial services to residents and businesses in minority and economically distressed communities. As community based financial institutions CDFIs understand and can respond effectively to the needs of their target market. CDFIs provide the flexible, market-driven products and services that consumers and small business owners need to grow and thrive.  CDFIs fill a vital niche in the nation's financial services delivery system by serving communities and market sectors that conventional lenders cannot - with the ultimate goal of bringing CDFI customers into the mainstream economy as bank customers, home owners and/or entrepreneurs.</w:t>
      </w:r>
    </w:p>
    <w:p w:rsidR="0031327A" w:rsidRPr="00EA2CF4" w:rsidRDefault="00252C7B" w:rsidP="0031327A">
      <w:pPr>
        <w:spacing w:before="120"/>
        <w:rPr>
          <w:bCs/>
          <w:color w:val="000000"/>
          <w:sz w:val="22"/>
          <w:szCs w:val="22"/>
        </w:rPr>
      </w:pPr>
      <w:r>
        <w:rPr>
          <w:sz w:val="22"/>
          <w:szCs w:val="22"/>
        </w:rPr>
        <w:t>There are currently</w:t>
      </w:r>
      <w:r w:rsidR="0031327A" w:rsidRPr="00EA2CF4">
        <w:rPr>
          <w:sz w:val="22"/>
          <w:szCs w:val="22"/>
        </w:rPr>
        <w:t xml:space="preserve"> </w:t>
      </w:r>
      <w:r w:rsidR="003B02CC">
        <w:rPr>
          <w:sz w:val="22"/>
          <w:szCs w:val="22"/>
        </w:rPr>
        <w:t>926</w:t>
      </w:r>
      <w:r w:rsidR="0031327A" w:rsidRPr="00EA2CF4">
        <w:rPr>
          <w:sz w:val="22"/>
          <w:szCs w:val="22"/>
        </w:rPr>
        <w:t xml:space="preserve"> </w:t>
      </w:r>
      <w:r>
        <w:rPr>
          <w:sz w:val="22"/>
          <w:szCs w:val="22"/>
        </w:rPr>
        <w:t xml:space="preserve">certified </w:t>
      </w:r>
      <w:r w:rsidR="0031327A" w:rsidRPr="00EA2CF4">
        <w:rPr>
          <w:sz w:val="22"/>
          <w:szCs w:val="22"/>
        </w:rPr>
        <w:t>CDFIs</w:t>
      </w:r>
      <w:r w:rsidR="0031327A" w:rsidRPr="00EA2CF4">
        <w:rPr>
          <w:rStyle w:val="FootnoteReference"/>
          <w:sz w:val="22"/>
          <w:szCs w:val="22"/>
        </w:rPr>
        <w:t xml:space="preserve"> </w:t>
      </w:r>
      <w:r>
        <w:rPr>
          <w:sz w:val="22"/>
          <w:szCs w:val="22"/>
        </w:rPr>
        <w:t>working</w:t>
      </w:r>
      <w:r w:rsidR="0031327A" w:rsidRPr="00EA2CF4">
        <w:rPr>
          <w:sz w:val="22"/>
          <w:szCs w:val="22"/>
        </w:rPr>
        <w:t xml:space="preserve"> in low-wealth communities in all 50 states and the District of Columbia. In addition to overseeing CDFI certification, the CDFI Fund administers a range of innovative programs designed to strengthen the ability of CDFIs to provide financial products and services to underserved communities. CDFI Fund programs include: </w:t>
      </w:r>
      <w:r w:rsidR="0031327A" w:rsidRPr="00EA2CF4">
        <w:rPr>
          <w:b/>
          <w:bCs/>
          <w:i/>
          <w:color w:val="000000"/>
          <w:sz w:val="22"/>
          <w:szCs w:val="22"/>
        </w:rPr>
        <w:t>Financial Assistance (FA) awards</w:t>
      </w:r>
      <w:r w:rsidR="0031327A" w:rsidRPr="00EA2CF4">
        <w:rPr>
          <w:bCs/>
          <w:color w:val="000000"/>
          <w:sz w:val="22"/>
          <w:szCs w:val="22"/>
        </w:rPr>
        <w:t xml:space="preserve"> to certified CDFIs and </w:t>
      </w:r>
      <w:r w:rsidR="0031327A" w:rsidRPr="00EA2CF4">
        <w:rPr>
          <w:b/>
          <w:bCs/>
          <w:i/>
          <w:color w:val="000000"/>
          <w:sz w:val="22"/>
          <w:szCs w:val="22"/>
        </w:rPr>
        <w:t>Technical Assistance (TA) grants</w:t>
      </w:r>
      <w:r w:rsidR="0031327A" w:rsidRPr="00EA2CF4">
        <w:rPr>
          <w:bCs/>
          <w:color w:val="000000"/>
          <w:sz w:val="22"/>
          <w:szCs w:val="22"/>
        </w:rPr>
        <w:t xml:space="preserve"> to certified or emerging CDFIs; the </w:t>
      </w:r>
      <w:r w:rsidR="0031327A" w:rsidRPr="00EA2CF4">
        <w:rPr>
          <w:b/>
          <w:bCs/>
          <w:i/>
          <w:color w:val="000000"/>
          <w:sz w:val="22"/>
          <w:szCs w:val="22"/>
        </w:rPr>
        <w:t>Native American CDFI Assistance (NACA) Program</w:t>
      </w:r>
      <w:r w:rsidR="0031327A" w:rsidRPr="00EA2CF4">
        <w:rPr>
          <w:bCs/>
          <w:color w:val="000000"/>
          <w:sz w:val="22"/>
          <w:szCs w:val="22"/>
        </w:rPr>
        <w:t xml:space="preserve"> aimed at increasing the number and capacity of CDFIs serving native communities; and the </w:t>
      </w:r>
      <w:r w:rsidR="0031327A" w:rsidRPr="00EA2CF4">
        <w:rPr>
          <w:b/>
          <w:bCs/>
          <w:i/>
          <w:color w:val="000000"/>
          <w:sz w:val="22"/>
          <w:szCs w:val="22"/>
        </w:rPr>
        <w:t>Bank Enterprise Award (BEA) Program</w:t>
      </w:r>
      <w:r w:rsidR="0031327A" w:rsidRPr="00EA2CF4">
        <w:rPr>
          <w:bCs/>
          <w:color w:val="000000"/>
          <w:sz w:val="22"/>
          <w:szCs w:val="22"/>
        </w:rPr>
        <w:t xml:space="preserve"> providing monetary awards to FDIC-insured banks that invest in low-income communities and/or in CDFIs.</w:t>
      </w:r>
    </w:p>
    <w:p w:rsidR="0031327A" w:rsidRPr="00EA2CF4" w:rsidRDefault="0031327A" w:rsidP="0031327A">
      <w:pPr>
        <w:autoSpaceDE w:val="0"/>
        <w:autoSpaceDN w:val="0"/>
        <w:adjustRightInd w:val="0"/>
        <w:jc w:val="both"/>
        <w:rPr>
          <w:bCs/>
          <w:color w:val="000000"/>
          <w:sz w:val="22"/>
          <w:szCs w:val="22"/>
        </w:rPr>
      </w:pPr>
    </w:p>
    <w:p w:rsidR="003B02CC" w:rsidRPr="003B02CC" w:rsidRDefault="0031327A" w:rsidP="006A71C8">
      <w:pPr>
        <w:autoSpaceDE w:val="0"/>
        <w:autoSpaceDN w:val="0"/>
        <w:adjustRightInd w:val="0"/>
        <w:jc w:val="both"/>
        <w:rPr>
          <w:bCs/>
          <w:color w:val="000000"/>
          <w:sz w:val="22"/>
          <w:szCs w:val="22"/>
        </w:rPr>
      </w:pPr>
      <w:r w:rsidRPr="00EA2CF4">
        <w:rPr>
          <w:color w:val="000000"/>
          <w:sz w:val="22"/>
          <w:szCs w:val="22"/>
        </w:rPr>
        <w:t>Since</w:t>
      </w:r>
      <w:r w:rsidRPr="00EA2CF4">
        <w:rPr>
          <w:bCs/>
          <w:color w:val="000000"/>
          <w:sz w:val="22"/>
          <w:szCs w:val="22"/>
        </w:rPr>
        <w:t xml:space="preserve"> 1994, the CDFI Fund has awarded more than $</w:t>
      </w:r>
      <w:r w:rsidR="003B02CC">
        <w:rPr>
          <w:bCs/>
          <w:color w:val="000000"/>
          <w:sz w:val="22"/>
          <w:szCs w:val="22"/>
        </w:rPr>
        <w:t>2</w:t>
      </w:r>
      <w:r w:rsidRPr="00EA2CF4">
        <w:rPr>
          <w:bCs/>
          <w:color w:val="000000"/>
          <w:sz w:val="22"/>
          <w:szCs w:val="22"/>
        </w:rPr>
        <w:t xml:space="preserve"> billion o</w:t>
      </w:r>
      <w:r>
        <w:rPr>
          <w:bCs/>
          <w:color w:val="000000"/>
          <w:sz w:val="22"/>
          <w:szCs w:val="22"/>
        </w:rPr>
        <w:t xml:space="preserve">n a competitive basis to CDFIs, including </w:t>
      </w:r>
      <w:r w:rsidRPr="00EA2CF4">
        <w:rPr>
          <w:bCs/>
          <w:color w:val="000000"/>
          <w:sz w:val="22"/>
          <w:szCs w:val="22"/>
        </w:rPr>
        <w:t xml:space="preserve">Native American CDFIs, </w:t>
      </w:r>
      <w:r>
        <w:rPr>
          <w:bCs/>
          <w:color w:val="000000"/>
          <w:sz w:val="22"/>
          <w:szCs w:val="22"/>
        </w:rPr>
        <w:t xml:space="preserve">small and emerging CDFIs </w:t>
      </w:r>
      <w:r w:rsidRPr="00EA2CF4">
        <w:rPr>
          <w:bCs/>
          <w:color w:val="000000"/>
          <w:sz w:val="22"/>
          <w:szCs w:val="22"/>
        </w:rPr>
        <w:t xml:space="preserve">and financial institutions through the BEA Program.  </w:t>
      </w:r>
      <w:r w:rsidR="003B02CC" w:rsidRPr="003B02CC">
        <w:rPr>
          <w:bCs/>
          <w:color w:val="000000"/>
          <w:sz w:val="22"/>
          <w:szCs w:val="22"/>
        </w:rPr>
        <w:t xml:space="preserve">The list of institutions certified as CDFIs includes 504 loan funds, 242 credit unions, 162 bank holding companies, banks or thrifts,  and 14 venture capital funds, located in rural and urban areas in all 50 states as well as the District of Columbia, Puerto Rico, and Guam.  </w:t>
      </w:r>
    </w:p>
    <w:p w:rsidR="00761CA8" w:rsidRPr="00E554E3" w:rsidRDefault="00761CA8" w:rsidP="00761CA8">
      <w:pPr>
        <w:spacing w:before="60" w:after="120"/>
        <w:rPr>
          <w:rFonts w:asciiTheme="majorHAnsi" w:hAnsiTheme="majorHAnsi"/>
          <w:b/>
          <w:smallCaps/>
        </w:rPr>
      </w:pPr>
      <w:r w:rsidRPr="00E554E3">
        <w:rPr>
          <w:rFonts w:asciiTheme="majorHAnsi" w:hAnsiTheme="majorHAnsi"/>
        </w:rPr>
        <w:t xml:space="preserve">In FY 2014, CDFIs made over 28,000 loans or investments totaling nearly $3 billion, financed </w:t>
      </w:r>
      <w:r>
        <w:rPr>
          <w:rFonts w:asciiTheme="majorHAnsi" w:hAnsiTheme="majorHAnsi"/>
        </w:rPr>
        <w:t>nearly 10,000</w:t>
      </w:r>
      <w:r w:rsidRPr="00E554E3">
        <w:rPr>
          <w:rFonts w:asciiTheme="majorHAnsi" w:hAnsiTheme="majorHAnsi"/>
        </w:rPr>
        <w:t xml:space="preserve"> small businesses and over 25,000 housing units.</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Amount of Total Loans/Investments Originated: $2,75</w:t>
      </w:r>
      <w:r>
        <w:rPr>
          <w:rFonts w:asciiTheme="majorHAnsi" w:hAnsiTheme="majorHAnsi"/>
          <w:b/>
          <w:sz w:val="21"/>
          <w:szCs w:val="21"/>
        </w:rPr>
        <w:t>9</w:t>
      </w:r>
      <w:r w:rsidRPr="00E554E3">
        <w:rPr>
          <w:rFonts w:asciiTheme="majorHAnsi" w:hAnsiTheme="majorHAnsi"/>
          <w:b/>
          <w:sz w:val="21"/>
          <w:szCs w:val="21"/>
        </w:rPr>
        <w:t>,152,949</w:t>
      </w:r>
    </w:p>
    <w:p w:rsidR="00761CA8" w:rsidRPr="00737D88"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r>
      <w:r w:rsidRPr="00737D88">
        <w:rPr>
          <w:rFonts w:asciiTheme="majorHAnsi" w:hAnsiTheme="majorHAnsi"/>
          <w:sz w:val="21"/>
          <w:szCs w:val="21"/>
        </w:rPr>
        <w:t>Number of Total Loans/Investments Originated: 28,117</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Business and Microenterprise Originations: $643,338,268</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r>
      <w:r w:rsidRPr="00E554E3">
        <w:rPr>
          <w:rFonts w:asciiTheme="majorHAnsi" w:hAnsiTheme="majorHAnsi"/>
          <w:sz w:val="21"/>
          <w:szCs w:val="21"/>
        </w:rPr>
        <w:t xml:space="preserve">Number of Originations: </w:t>
      </w:r>
      <w:r>
        <w:rPr>
          <w:rFonts w:asciiTheme="majorHAnsi" w:hAnsiTheme="majorHAnsi"/>
          <w:sz w:val="21"/>
          <w:szCs w:val="21"/>
        </w:rPr>
        <w:t>12,035</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Consumer Originations: $</w:t>
      </w:r>
      <w:r>
        <w:rPr>
          <w:rFonts w:asciiTheme="majorHAnsi" w:hAnsiTheme="majorHAnsi"/>
          <w:b/>
          <w:sz w:val="21"/>
          <w:szCs w:val="21"/>
        </w:rPr>
        <w:t>19,531,162</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t>Number of Originations: 3,941</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Home Improvement and Home Purchase Originations: $</w:t>
      </w:r>
      <w:r>
        <w:rPr>
          <w:rFonts w:asciiTheme="majorHAnsi" w:hAnsiTheme="majorHAnsi"/>
          <w:b/>
          <w:sz w:val="21"/>
          <w:szCs w:val="21"/>
        </w:rPr>
        <w:t>565,338,116</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r>
      <w:r w:rsidRPr="00E554E3">
        <w:rPr>
          <w:rFonts w:asciiTheme="majorHAnsi" w:hAnsiTheme="majorHAnsi"/>
          <w:sz w:val="21"/>
          <w:szCs w:val="21"/>
        </w:rPr>
        <w:t xml:space="preserve">Number of Originations </w:t>
      </w:r>
      <w:r>
        <w:rPr>
          <w:rFonts w:asciiTheme="majorHAnsi" w:hAnsiTheme="majorHAnsi"/>
          <w:sz w:val="21"/>
          <w:szCs w:val="21"/>
        </w:rPr>
        <w:t>8,428</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Residential Real Estate Originations: $</w:t>
      </w:r>
      <w:r>
        <w:rPr>
          <w:rFonts w:asciiTheme="majorHAnsi" w:hAnsiTheme="majorHAnsi"/>
          <w:b/>
          <w:sz w:val="21"/>
          <w:szCs w:val="21"/>
        </w:rPr>
        <w:t>668,079,808</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t>Number of Originations: 1,231</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Commercial Real Estate Originations: $</w:t>
      </w:r>
      <w:r>
        <w:rPr>
          <w:rFonts w:asciiTheme="majorHAnsi" w:hAnsiTheme="majorHAnsi"/>
          <w:b/>
          <w:sz w:val="21"/>
          <w:szCs w:val="21"/>
        </w:rPr>
        <w:t>497,509,086</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t>Number of Originations: 830</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 xml:space="preserve">All Other Originations: </w:t>
      </w:r>
      <w:r>
        <w:rPr>
          <w:rFonts w:asciiTheme="majorHAnsi" w:hAnsiTheme="majorHAnsi"/>
          <w:b/>
          <w:sz w:val="21"/>
          <w:szCs w:val="21"/>
        </w:rPr>
        <w:t>$365,356,509</w:t>
      </w:r>
      <w:r>
        <w:rPr>
          <w:rStyle w:val="FootnoteReference"/>
          <w:rFonts w:asciiTheme="majorHAnsi" w:hAnsiTheme="majorHAnsi"/>
          <w:b/>
          <w:sz w:val="21"/>
          <w:szCs w:val="21"/>
        </w:rPr>
        <w:footnoteReference w:id="2"/>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t>Number of Originations: 1,652</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 xml:space="preserve">Affordable Housing Units Financed: </w:t>
      </w:r>
      <w:r>
        <w:rPr>
          <w:rFonts w:asciiTheme="majorHAnsi" w:hAnsiTheme="majorHAnsi"/>
          <w:b/>
          <w:sz w:val="21"/>
          <w:szCs w:val="21"/>
        </w:rPr>
        <w:t>28,617</w:t>
      </w:r>
      <w:r w:rsidRPr="00E554E3">
        <w:rPr>
          <w:rFonts w:asciiTheme="majorHAnsi" w:hAnsiTheme="majorHAnsi"/>
          <w:b/>
          <w:sz w:val="21"/>
          <w:szCs w:val="21"/>
        </w:rPr>
        <w:t xml:space="preserve">  </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r>
      <w:r w:rsidRPr="00E554E3">
        <w:rPr>
          <w:rFonts w:asciiTheme="majorHAnsi" w:hAnsiTheme="majorHAnsi"/>
          <w:sz w:val="21"/>
          <w:szCs w:val="21"/>
        </w:rPr>
        <w:t xml:space="preserve">Rental Units </w:t>
      </w:r>
      <w:r>
        <w:rPr>
          <w:rFonts w:asciiTheme="majorHAnsi" w:hAnsiTheme="majorHAnsi"/>
          <w:sz w:val="21"/>
          <w:szCs w:val="21"/>
        </w:rPr>
        <w:t>25,662 and Owner Units: 2,955</w:t>
      </w:r>
    </w:p>
    <w:p w:rsidR="00761CA8" w:rsidRPr="00E554E3" w:rsidRDefault="00761CA8" w:rsidP="00761CA8">
      <w:pPr>
        <w:numPr>
          <w:ilvl w:val="0"/>
          <w:numId w:val="5"/>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 xml:space="preserve">Businesses Financed: </w:t>
      </w:r>
      <w:r>
        <w:rPr>
          <w:rFonts w:asciiTheme="majorHAnsi" w:hAnsiTheme="majorHAnsi"/>
          <w:b/>
          <w:sz w:val="21"/>
          <w:szCs w:val="21"/>
        </w:rPr>
        <w:t>9,388</w:t>
      </w:r>
      <w:r>
        <w:rPr>
          <w:rStyle w:val="FootnoteReference"/>
          <w:rFonts w:asciiTheme="majorHAnsi" w:hAnsiTheme="majorHAnsi"/>
          <w:b/>
          <w:sz w:val="21"/>
          <w:szCs w:val="21"/>
        </w:rPr>
        <w:footnoteReference w:id="3"/>
      </w:r>
    </w:p>
    <w:p w:rsidR="00761CA8" w:rsidRPr="00E554E3" w:rsidRDefault="00761CA8" w:rsidP="00761CA8">
      <w:pPr>
        <w:numPr>
          <w:ilvl w:val="0"/>
          <w:numId w:val="5"/>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 xml:space="preserve">Financial Access and Literacy </w:t>
      </w:r>
    </w:p>
    <w:p w:rsidR="0031327A" w:rsidRPr="008846F2" w:rsidRDefault="00761CA8" w:rsidP="00761CA8">
      <w:pPr>
        <w:tabs>
          <w:tab w:val="left" w:pos="720"/>
          <w:tab w:val="left" w:pos="990"/>
        </w:tabs>
        <w:ind w:left="720" w:hanging="720"/>
        <w:contextualSpacing/>
        <w:rPr>
          <w:rFonts w:asciiTheme="majorHAnsi" w:eastAsiaTheme="minorHAnsi" w:hAnsiTheme="majorHAnsi" w:cstheme="minorBidi"/>
          <w:b/>
          <w:sz w:val="21"/>
          <w:szCs w:val="21"/>
        </w:rPr>
      </w:pPr>
      <w:r>
        <w:rPr>
          <w:rFonts w:asciiTheme="majorHAnsi" w:hAnsiTheme="majorHAnsi"/>
          <w:sz w:val="21"/>
          <w:szCs w:val="21"/>
        </w:rPr>
        <w:tab/>
      </w:r>
      <w:r w:rsidRPr="00E554E3">
        <w:rPr>
          <w:rFonts w:asciiTheme="majorHAnsi" w:hAnsiTheme="majorHAnsi"/>
          <w:sz w:val="21"/>
          <w:szCs w:val="21"/>
        </w:rPr>
        <w:t xml:space="preserve">Individuals Served by Financial Literacy or Other Training: </w:t>
      </w:r>
      <w:r>
        <w:rPr>
          <w:rFonts w:asciiTheme="majorHAnsi" w:hAnsiTheme="majorHAnsi"/>
          <w:sz w:val="21"/>
          <w:szCs w:val="21"/>
        </w:rPr>
        <w:t>252,552</w:t>
      </w:r>
      <w:bookmarkStart w:id="0" w:name="_GoBack"/>
      <w:bookmarkEnd w:id="0"/>
    </w:p>
    <w:sectPr w:rsidR="0031327A" w:rsidRPr="008846F2" w:rsidSect="00F442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35" w:rsidRDefault="000A7C35" w:rsidP="00B84341">
      <w:r>
        <w:separator/>
      </w:r>
    </w:p>
  </w:endnote>
  <w:endnote w:type="continuationSeparator" w:id="0">
    <w:p w:rsidR="000A7C35" w:rsidRDefault="000A7C35" w:rsidP="00B8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35" w:rsidRDefault="000A7C35" w:rsidP="00B84341">
      <w:r>
        <w:separator/>
      </w:r>
    </w:p>
  </w:footnote>
  <w:footnote w:type="continuationSeparator" w:id="0">
    <w:p w:rsidR="000A7C35" w:rsidRDefault="000A7C35" w:rsidP="00B84341">
      <w:r>
        <w:continuationSeparator/>
      </w:r>
    </w:p>
  </w:footnote>
  <w:footnote w:id="1">
    <w:p w:rsidR="0031327A" w:rsidRPr="00BA588F" w:rsidRDefault="0031327A" w:rsidP="0031327A">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 w:id="2">
    <w:p w:rsidR="00761CA8" w:rsidRPr="00FF60B8" w:rsidRDefault="00761CA8" w:rsidP="00761CA8">
      <w:pPr>
        <w:pStyle w:val="FootnoteText"/>
        <w:rPr>
          <w:rFonts w:asciiTheme="majorHAnsi" w:hAnsiTheme="majorHAnsi"/>
          <w:i/>
          <w:sz w:val="16"/>
          <w:szCs w:val="16"/>
        </w:rPr>
      </w:pPr>
      <w:r w:rsidRPr="00FF60B8">
        <w:rPr>
          <w:rStyle w:val="FootnoteReference"/>
          <w:rFonts w:asciiTheme="majorHAnsi" w:hAnsiTheme="majorHAnsi"/>
          <w:sz w:val="16"/>
          <w:szCs w:val="16"/>
        </w:rPr>
        <w:footnoteRef/>
      </w:r>
      <w:r w:rsidRPr="00FF60B8">
        <w:rPr>
          <w:rFonts w:asciiTheme="majorHAnsi" w:hAnsiTheme="majorHAnsi"/>
          <w:sz w:val="16"/>
          <w:szCs w:val="16"/>
        </w:rPr>
        <w:t xml:space="preserve"> </w:t>
      </w:r>
      <w:r w:rsidRPr="00FF60B8">
        <w:rPr>
          <w:rFonts w:asciiTheme="majorHAnsi" w:hAnsiTheme="majorHAnsi"/>
          <w:i/>
          <w:sz w:val="16"/>
          <w:szCs w:val="16"/>
        </w:rPr>
        <w:t>This category includes financial notes with a purpose other than providing financing commercial or residential real estate, home improvement/purchase, consumers, or microenterprises. For example, loans/investments to other CDFIs are included in this category.</w:t>
      </w:r>
    </w:p>
  </w:footnote>
  <w:footnote w:id="3">
    <w:p w:rsidR="00761CA8" w:rsidRPr="00FF60B8" w:rsidRDefault="00761CA8" w:rsidP="00761CA8">
      <w:pPr>
        <w:pStyle w:val="FootnoteText"/>
        <w:rPr>
          <w:rFonts w:asciiTheme="majorHAnsi" w:hAnsiTheme="majorHAnsi"/>
          <w:sz w:val="16"/>
          <w:szCs w:val="16"/>
        </w:rPr>
      </w:pPr>
      <w:r w:rsidRPr="00FF60B8">
        <w:rPr>
          <w:rStyle w:val="FootnoteReference"/>
          <w:rFonts w:asciiTheme="majorHAnsi" w:hAnsiTheme="majorHAnsi"/>
          <w:sz w:val="16"/>
          <w:szCs w:val="16"/>
        </w:rPr>
        <w:footnoteRef/>
      </w:r>
      <w:r w:rsidRPr="00FF60B8">
        <w:rPr>
          <w:rFonts w:asciiTheme="majorHAnsi" w:hAnsiTheme="majorHAnsi"/>
          <w:sz w:val="16"/>
          <w:szCs w:val="16"/>
        </w:rPr>
        <w:t xml:space="preserve"> </w:t>
      </w:r>
      <w:r w:rsidRPr="00FF60B8">
        <w:rPr>
          <w:rFonts w:asciiTheme="majorHAnsi" w:hAnsiTheme="majorHAnsi"/>
          <w:i/>
          <w:sz w:val="16"/>
          <w:szCs w:val="16"/>
        </w:rPr>
        <w:t>The number reflects netting out businesses that received more than one loan</w:t>
      </w:r>
      <w:r>
        <w:rPr>
          <w:rFonts w:asciiTheme="majorHAnsi" w:hAnsiTheme="majorHAnsi"/>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755AE"/>
    <w:multiLevelType w:val="hybridMultilevel"/>
    <w:tmpl w:val="27D214B0"/>
    <w:lvl w:ilvl="0" w:tplc="64DE2950">
      <w:start w:val="221"/>
      <w:numFmt w:val="bullet"/>
      <w:lvlText w:val="-"/>
      <w:lvlJc w:val="left"/>
      <w:pPr>
        <w:ind w:left="660" w:hanging="360"/>
      </w:pPr>
      <w:rPr>
        <w:rFonts w:ascii="Calibri" w:eastAsia="Times New Roman"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3D2A2B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BA54861"/>
    <w:multiLevelType w:val="hybridMultilevel"/>
    <w:tmpl w:val="82A4416E"/>
    <w:lvl w:ilvl="0" w:tplc="04090001">
      <w:start w:val="1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356EA"/>
    <w:multiLevelType w:val="hybridMultilevel"/>
    <w:tmpl w:val="9BF6B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75D3C"/>
    <w:multiLevelType w:val="hybridMultilevel"/>
    <w:tmpl w:val="B96A96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8670F"/>
    <w:multiLevelType w:val="hybridMultilevel"/>
    <w:tmpl w:val="3CDC5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C"/>
    <w:rsid w:val="0000793C"/>
    <w:rsid w:val="00026BD7"/>
    <w:rsid w:val="000522B4"/>
    <w:rsid w:val="000A7C35"/>
    <w:rsid w:val="00134481"/>
    <w:rsid w:val="001363E0"/>
    <w:rsid w:val="00155F08"/>
    <w:rsid w:val="0016589E"/>
    <w:rsid w:val="00190540"/>
    <w:rsid w:val="00216E2E"/>
    <w:rsid w:val="00252C7B"/>
    <w:rsid w:val="0025519F"/>
    <w:rsid w:val="002D29AE"/>
    <w:rsid w:val="002D7026"/>
    <w:rsid w:val="0031327A"/>
    <w:rsid w:val="003136C1"/>
    <w:rsid w:val="00334979"/>
    <w:rsid w:val="00342EB6"/>
    <w:rsid w:val="00393464"/>
    <w:rsid w:val="003B02CC"/>
    <w:rsid w:val="00413468"/>
    <w:rsid w:val="00417474"/>
    <w:rsid w:val="00441A76"/>
    <w:rsid w:val="004471D7"/>
    <w:rsid w:val="00495581"/>
    <w:rsid w:val="00545F44"/>
    <w:rsid w:val="005626A6"/>
    <w:rsid w:val="00572123"/>
    <w:rsid w:val="00591C59"/>
    <w:rsid w:val="005B0CDD"/>
    <w:rsid w:val="006244AE"/>
    <w:rsid w:val="00636DA4"/>
    <w:rsid w:val="00676631"/>
    <w:rsid w:val="006A71C8"/>
    <w:rsid w:val="006D4DCC"/>
    <w:rsid w:val="006E5CD4"/>
    <w:rsid w:val="00705F8D"/>
    <w:rsid w:val="00761CA8"/>
    <w:rsid w:val="00775AE8"/>
    <w:rsid w:val="007D1B24"/>
    <w:rsid w:val="007D2B52"/>
    <w:rsid w:val="007D4B08"/>
    <w:rsid w:val="007F6712"/>
    <w:rsid w:val="008250D4"/>
    <w:rsid w:val="00832222"/>
    <w:rsid w:val="0083638B"/>
    <w:rsid w:val="00876E66"/>
    <w:rsid w:val="008846F2"/>
    <w:rsid w:val="00897BDF"/>
    <w:rsid w:val="008B0062"/>
    <w:rsid w:val="008C04DA"/>
    <w:rsid w:val="008C6FC3"/>
    <w:rsid w:val="00932651"/>
    <w:rsid w:val="00A13C1F"/>
    <w:rsid w:val="00A54AD6"/>
    <w:rsid w:val="00A60EE8"/>
    <w:rsid w:val="00A8310B"/>
    <w:rsid w:val="00AB25BF"/>
    <w:rsid w:val="00AD5862"/>
    <w:rsid w:val="00AD6AAE"/>
    <w:rsid w:val="00AF5B05"/>
    <w:rsid w:val="00B06975"/>
    <w:rsid w:val="00B617FE"/>
    <w:rsid w:val="00B64965"/>
    <w:rsid w:val="00B8207C"/>
    <w:rsid w:val="00B8291E"/>
    <w:rsid w:val="00B84341"/>
    <w:rsid w:val="00CB123A"/>
    <w:rsid w:val="00CD5947"/>
    <w:rsid w:val="00CF2877"/>
    <w:rsid w:val="00D57722"/>
    <w:rsid w:val="00D60F4F"/>
    <w:rsid w:val="00D653EC"/>
    <w:rsid w:val="00DC2849"/>
    <w:rsid w:val="00DD6C7B"/>
    <w:rsid w:val="00E10345"/>
    <w:rsid w:val="00E33F8E"/>
    <w:rsid w:val="00E931B0"/>
    <w:rsid w:val="00EA4537"/>
    <w:rsid w:val="00EB5695"/>
    <w:rsid w:val="00F0312B"/>
    <w:rsid w:val="00F26DC8"/>
    <w:rsid w:val="00F36331"/>
    <w:rsid w:val="00F44296"/>
    <w:rsid w:val="00FC4B56"/>
    <w:rsid w:val="00FE0A70"/>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3E444-63B3-47E8-AB87-C05B117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341"/>
    <w:rPr>
      <w:sz w:val="20"/>
      <w:szCs w:val="20"/>
    </w:rPr>
  </w:style>
  <w:style w:type="character" w:customStyle="1" w:styleId="FootnoteTextChar">
    <w:name w:val="Footnote Text Char"/>
    <w:basedOn w:val="DefaultParagraphFont"/>
    <w:link w:val="FootnoteText"/>
    <w:uiPriority w:val="99"/>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table" w:styleId="TableGrid">
    <w:name w:val="Table Grid"/>
    <w:basedOn w:val="TableNormal"/>
    <w:uiPriority w:val="59"/>
    <w:rsid w:val="0031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1327A"/>
    <w:rPr>
      <w:sz w:val="20"/>
      <w:szCs w:val="20"/>
    </w:rPr>
  </w:style>
  <w:style w:type="character" w:customStyle="1" w:styleId="EndnoteTextChar">
    <w:name w:val="Endnote Text Char"/>
    <w:basedOn w:val="DefaultParagraphFont"/>
    <w:link w:val="EndnoteText"/>
    <w:uiPriority w:val="99"/>
    <w:rsid w:val="003132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4296"/>
    <w:rPr>
      <w:rFonts w:ascii="Tahoma" w:hAnsi="Tahoma" w:cs="Tahoma"/>
      <w:sz w:val="16"/>
      <w:szCs w:val="16"/>
    </w:rPr>
  </w:style>
  <w:style w:type="character" w:customStyle="1" w:styleId="BalloonTextChar">
    <w:name w:val="Balloon Text Char"/>
    <w:basedOn w:val="DefaultParagraphFont"/>
    <w:link w:val="BalloonText"/>
    <w:uiPriority w:val="99"/>
    <w:semiHidden/>
    <w:rsid w:val="00F44296"/>
    <w:rPr>
      <w:rFonts w:ascii="Tahoma" w:eastAsia="Times New Roman" w:hAnsi="Tahoma" w:cs="Tahoma"/>
      <w:sz w:val="16"/>
      <w:szCs w:val="16"/>
    </w:rPr>
  </w:style>
  <w:style w:type="paragraph" w:styleId="ListParagraph">
    <w:name w:val="List Paragraph"/>
    <w:basedOn w:val="Normal"/>
    <w:uiPriority w:val="34"/>
    <w:qFormat/>
    <w:rsid w:val="00B06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51000">
      <w:bodyDiv w:val="1"/>
      <w:marLeft w:val="0"/>
      <w:marRight w:val="0"/>
      <w:marTop w:val="0"/>
      <w:marBottom w:val="0"/>
      <w:divBdr>
        <w:top w:val="none" w:sz="0" w:space="0" w:color="auto"/>
        <w:left w:val="none" w:sz="0" w:space="0" w:color="auto"/>
        <w:bottom w:val="none" w:sz="0" w:space="0" w:color="auto"/>
        <w:right w:val="none" w:sz="0" w:space="0" w:color="auto"/>
      </w:divBdr>
    </w:div>
    <w:div w:id="17202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2B64-8E76-4F67-8521-B096F39E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Feighan</dc:creator>
  <cp:lastModifiedBy>Paul Anderson</cp:lastModifiedBy>
  <cp:revision>5</cp:revision>
  <cp:lastPrinted>2014-03-05T01:16:00Z</cp:lastPrinted>
  <dcterms:created xsi:type="dcterms:W3CDTF">2015-02-23T13:19:00Z</dcterms:created>
  <dcterms:modified xsi:type="dcterms:W3CDTF">2015-02-27T15:33:00Z</dcterms:modified>
</cp:coreProperties>
</file>